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Japanese</w:t>
      </w:r>
      <w:r>
        <w:t xml:space="preserve"> </w:t>
      </w:r>
      <w:r>
        <w:t xml:space="preserve">Judicial</w:t>
      </w:r>
      <w:r>
        <w:t xml:space="preserve"> </w:t>
      </w:r>
      <w:r>
        <w:t xml:space="preserve">Contexts</w:t>
      </w:r>
    </w:p>
    <w:bookmarkStart w:id="20" w:name="X569bcfab4c16607d645cd8ff3e72b0f102e9b18"/>
    <w:p>
      <w:pPr>
        <w:pStyle w:val="Heading1"/>
      </w:pPr>
      <w:r>
        <w:t xml:space="preserve">The Evolution and Current State of the Judge in Japan</w:t>
      </w:r>
    </w:p>
    <w:p>
      <w:pPr>
        <w:pStyle w:val="FirstParagraph"/>
      </w:pPr>
      <w:r>
        <w:t xml:space="preserve">A Critical Analysis of Judicial Independence, Culture, and Reform in Kyoto and Beyond</w:t>
      </w:r>
    </w:p>
    <w:p>
      <w:pPr>
        <w:pStyle w:val="BodyText"/>
      </w:pPr>
      <w:r>
        <w:rPr>
          <w:bCs/>
          <w:b/>
        </w:rPr>
        <w:t xml:space="preserve">Presentation Venue:</w:t>
      </w:r>
      <w:r>
        <w:t xml:space="preserve"> </w:t>
      </w:r>
      <w:r>
        <w:t xml:space="preserve">Kyoto International Conference Center / Academic Symposium on Asian Law</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academic poster presentation explores the multifaceted role of the judge within the contemporary Japanese legal system. Situated against the backdrop of a society that values harmony and consensus, this study examines how judges navigate statutory law versus social expectation. Special attention is paid to recent judicial reforms initiated by courts located in major administrative hubs, including Kyoto, which serves as both a cultural heritage site and a growing center for international legal discourse.</w:t>
      </w:r>
    </w:p>
    <w:bookmarkEnd w:id="21"/>
    <w:bookmarkStart w:id="23" w:name="introduction"/>
    <w:bookmarkStart w:id="22" w:name="introduction-the-context-of-japan-kyoto"/>
    <w:p>
      <w:pPr>
        <w:pStyle w:val="Heading2"/>
      </w:pPr>
      <w:r>
        <w:t xml:space="preserve">Introduction: The Context of Japan Kyoto</w:t>
      </w:r>
    </w:p>
    <w:p>
      <w:pPr>
        <w:pStyle w:val="FirstParagraph"/>
      </w:pPr>
      <w:r>
        <w:t xml:space="preserve">Kyoto is not merely the ancient capital but a living laboratory for traditional Japanese values. In this region, the interaction between modern statutory law and traditional social norms is particularly visible. When a Judge operates in Kyoto, they are situated in an environment deeply steeped in history, where the prestige of tradition can sometimes overshadow procedural efficiency. This presentation argues that understanding the Japanese judge requires an understanding of their geographical and cultural context.</w:t>
      </w:r>
    </w:p>
    <w:p>
      <w:pPr>
        <w:pStyle w:val="BodyText"/>
      </w:pPr>
      <w:r>
        <w:rPr>
          <w:bCs/>
          <w:b/>
        </w:rPr>
        <w:t xml:space="preserve">Key Question:</w:t>
      </w:r>
      <w:r>
        <w:t xml:space="preserve"> </w:t>
      </w:r>
      <w:r>
        <w:t xml:space="preserve">How does the specific cultural weight of Japan Kyoto influence judicial decision-making processes?</w:t>
      </w:r>
    </w:p>
    <w:bookmarkEnd w:id="22"/>
    <w:bookmarkEnd w:id="23"/>
    <w:bookmarkStart w:id="25" w:name="methodology"/>
    <w:bookmarkStart w:id="24" w:name="theoretical-framework-methodology"/>
    <w:p>
      <w:pPr>
        <w:pStyle w:val="Heading2"/>
      </w:pPr>
      <w:r>
        <w:t xml:space="preserve">Theoretical Framework &amp; Methodology</w:t>
      </w:r>
    </w:p>
    <w:p>
      <w:pPr>
        <w:pStyle w:val="FirstParagraph"/>
      </w:pPr>
      <w:r>
        <w:t xml:space="preserve">To analyze the role of the Judge, we employ a mixed-method approach:</w:t>
      </w:r>
    </w:p>
    <w:p>
      <w:pPr>
        <w:numPr>
          <w:ilvl w:val="0"/>
          <w:numId w:val="1001"/>
        </w:numPr>
        <w:pStyle w:val="Compact"/>
      </w:pPr>
      <w:r>
        <w:rPr>
          <w:bCs/>
          <w:b/>
        </w:rPr>
        <w:t xml:space="preserve">Judicial Surveys:</w:t>
      </w:r>
      <w:r>
        <w:t xml:space="preserve"> </w:t>
      </w:r>
      <w:r>
        <w:t xml:space="preserve">Analysis of data from the Supreme Court of Japan regarding sentencing patterns and conviction rates.</w:t>
      </w:r>
    </w:p>
    <w:p>
      <w:pPr>
        <w:numPr>
          <w:ilvl w:val="0"/>
          <w:numId w:val="1001"/>
        </w:numPr>
        <w:pStyle w:val="Compact"/>
      </w:pPr>
      <w:r>
        <w:rPr>
          <w:bCs/>
          <w:b/>
        </w:rPr>
        <w:t xml:space="preserve">Cultural Anthropology:</w:t>
      </w:r>
      <w:r>
        <w:t xml:space="preserve"> </w:t>
      </w:r>
      <w:r>
        <w:t xml:space="preserve">Examination of "Wa" (harmony) as a guiding principle in courtrooms across Kyoto Prefecture.</w:t>
      </w:r>
    </w:p>
    <w:p>
      <w:pPr>
        <w:numPr>
          <w:ilvl w:val="0"/>
          <w:numId w:val="1001"/>
        </w:numPr>
        <w:pStyle w:val="Compact"/>
      </w:pPr>
      <w:r>
        <w:t xml:space="preserve">Institutional Review: The role of the Judicial Research and Training Institute based in Kyoto, which trains new judges.</w:t>
      </w:r>
    </w:p>
    <w:bookmarkEnd w:id="24"/>
    <w:bookmarkEnd w:id="25"/>
    <w:bookmarkStart w:id="27" w:name="challenges"/>
    <w:bookmarkStart w:id="26" w:name="critical-challenges-for-the-judge"/>
    <w:p>
      <w:pPr>
        <w:pStyle w:val="Heading2"/>
      </w:pPr>
      <w:r>
        <w:t xml:space="preserve">Critical Challenges for the Judge</w:t>
      </w:r>
    </w:p>
    <w:p>
      <w:pPr>
        <w:pStyle w:val="FirstParagraph"/>
      </w:pPr>
      <w:r>
        <w:t xml:space="preserve">The Japanese judge faces unique structural pressures:</w:t>
      </w:r>
    </w:p>
    <w:p>
      <w:pPr>
        <w:numPr>
          <w:ilvl w:val="0"/>
          <w:numId w:val="1002"/>
        </w:numPr>
        <w:pStyle w:val="Compact"/>
      </w:pPr>
      <w:r>
        <w:rPr>
          <w:bCs/>
          <w:b/>
        </w:rPr>
        <w:t xml:space="preserve">The High Conviction Rate:</w:t>
      </w:r>
      <w:r>
        <w:t xml:space="preserve"> </w:t>
      </w:r>
      <w:r>
        <w:t xml:space="preserve">With a conviction rate exceeding 99%, critics argue that the role of the Judge is often seen as a formality rather than an adversarial check on prosecution power.</w:t>
      </w:r>
    </w:p>
    <w:p>
      <w:pPr>
        <w:numPr>
          <w:ilvl w:val="0"/>
          <w:numId w:val="1002"/>
        </w:numPr>
        <w:pStyle w:val="Compact"/>
      </w:pPr>
      <w:r>
        <w:rPr>
          <w:bCs/>
          <w:b/>
        </w:rPr>
        <w:t xml:space="preserve">Bureaucratic Hierarchy:</w:t>
      </w:r>
      <w:r>
        <w:t xml:space="preserve"> </w:t>
      </w:r>
      <w:r>
        <w:t xml:space="preserve">The Japan Judges are part of a strict bureaucratic hierarchy under the Supreme Court Secretariat. Promotions and transfers can subtly influence judicial independence.</w:t>
      </w:r>
    </w:p>
    <w:p>
      <w:pPr>
        <w:numPr>
          <w:ilvl w:val="0"/>
          <w:numId w:val="1002"/>
        </w:numPr>
        <w:pStyle w:val="Compact"/>
      </w:pPr>
      <w:r>
        <w:rPr>
          <w:bCs/>
          <w:b/>
        </w:rPr>
        <w:t xml:space="preserve">Docket Management:</w:t>
      </w:r>
      <w:r>
        <w:t xml:space="preserve"> </w:t>
      </w:r>
      <w:r>
        <w:t xml:space="preserve">Judges in Kyoto and Tokyo alike face overwhelming caseloads, leading to reliance on pre-trial investigations conducted primarily by prosecutors.</w:t>
      </w:r>
    </w:p>
    <w:bookmarkEnd w:id="26"/>
    <w:bookmarkEnd w:id="27"/>
    <w:bookmarkStart w:id="31" w:name="analysis"/>
    <w:bookmarkStart w:id="30" w:name="judicial-culture-in-japan-kyoto"/>
    <w:p>
      <w:pPr>
        <w:pStyle w:val="Heading2"/>
      </w:pPr>
      <w:r>
        <w:t xml:space="preserve">Judicial Culture in Japan Kyoto</w:t>
      </w:r>
    </w:p>
    <w:p>
      <w:pPr>
        <w:pStyle w:val="FirstParagraph"/>
      </w:pPr>
      <w:r>
        <w:t xml:space="preserve">The specific locale of Japan Kyoto offers a distinct perspective on judicial behavior. While Tokyo represents the modern, fast-paced legal center, Kyoto represents the moral and traditional anchor.</w:t>
      </w:r>
    </w:p>
    <w:bookmarkStart w:id="28" w:name="the-kyoto-style-adjudication"/>
    <w:p>
      <w:pPr>
        <w:pStyle w:val="Heading3"/>
      </w:pPr>
      <w:r>
        <w:t xml:space="preserve">The "Kyoto Style" Adjudication</w:t>
      </w:r>
    </w:p>
    <w:p>
      <w:pPr>
        <w:pStyle w:val="FirstParagraph"/>
      </w:pPr>
      <w:r>
        <w:t xml:space="preserve">In local district courts within Japan Kyoto, there is a noted tendency toward mediation and settlement (Wankyaku). Judges often act not just as arbiters of law but as facilitators of social reconciliation. This approach aligns with the broader societal preference in Japan for resolving disputes without public confrontation.</w:t>
      </w:r>
    </w:p>
    <w:bookmarkEnd w:id="28"/>
    <w:bookmarkStart w:id="29" w:name="impact-on-legal-precedent"/>
    <w:p>
      <w:pPr>
        <w:pStyle w:val="Heading3"/>
      </w:pPr>
      <w:r>
        <w:t xml:space="preserve">Impact on Legal Precedent</w:t>
      </w:r>
    </w:p>
    <w:p>
      <w:pPr>
        <w:pStyle w:val="FirstParagraph"/>
      </w:pPr>
      <w:r>
        <w:t xml:space="preserve">Cases originating from Kyoto often set precedents regarding property rights, heritage preservation, and family law. The Judge must balance international human rights standards with local customs. For instance, in cases involving traditional wooden machiya houses or temple grounds, the Judge must interpret modern civil codes through a lens of historical preservation.</w:t>
      </w:r>
    </w:p>
    <w:bookmarkEnd w:id="29"/>
    <w:bookmarkEnd w:id="30"/>
    <w:bookmarkEnd w:id="31"/>
    <w:bookmarkStart w:id="33" w:name="reforms"/>
    <w:bookmarkStart w:id="32" w:name="reform-and-modernization"/>
    <w:p>
      <w:pPr>
        <w:pStyle w:val="Heading2"/>
      </w:pPr>
      <w:r>
        <w:t xml:space="preserve">Reform and Modernization</w:t>
      </w:r>
    </w:p>
    <w:p>
      <w:pPr>
        <w:pStyle w:val="FirstParagraph"/>
      </w:pPr>
      <w:r>
        <w:t xml:space="preserve">In recent years, the Japanese government has pushed for significant changes to empower the Judge and increase transparency. Key initiatives include:</w:t>
      </w:r>
    </w:p>
    <w:p>
      <w:pPr>
        <w:numPr>
          <w:ilvl w:val="0"/>
          <w:numId w:val="1003"/>
        </w:numPr>
        <w:pStyle w:val="Compact"/>
      </w:pPr>
      <w:r>
        <w:rPr>
          <w:bCs/>
          <w:b/>
        </w:rPr>
        <w:t xml:space="preserve">➤ Lay Judge System (Saiban-in):</w:t>
      </w:r>
      <w:r>
        <w:t xml:space="preserve"> </w:t>
      </w:r>
      <w:r>
        <w:t xml:space="preserve">Introduced in 2009, this system allows ordinary citizens to sit alongside professional Judges in serious criminal cases. In Japan Kyoto, this has led to more rigorous scrutiny of evidence.</w:t>
      </w:r>
    </w:p>
    <w:p>
      <w:pPr>
        <w:numPr>
          <w:ilvl w:val="0"/>
          <w:numId w:val="1003"/>
        </w:numPr>
        <w:pStyle w:val="Compact"/>
      </w:pPr>
      <w:r>
        <w:rPr>
          <w:bCs/>
          <w:b/>
        </w:rPr>
        <w:t xml:space="preserve">➤ Transparency Initiatives:</w:t>
      </w:r>
      <w:r>
        <w:t xml:space="preserve"> </w:t>
      </w:r>
      <w:r>
        <w:t xml:space="preserve">Efforts to make court reasoning more accessible to the public.</w:t>
      </w:r>
    </w:p>
    <w:p>
      <w:pPr>
        <w:numPr>
          <w:ilvl w:val="0"/>
          <w:numId w:val="1003"/>
        </w:numPr>
        <w:pStyle w:val="Compact"/>
      </w:pPr>
      <w:r>
        <w:rPr>
          <w:bCs/>
          <w:b/>
        </w:rPr>
        <w:t xml:space="preserve">➤ International Integration:</w:t>
      </w:r>
      <w:r>
        <w:t xml:space="preserve"> </w:t>
      </w:r>
      <w:r>
        <w:t xml:space="preserve">As Kyoto hosts many international conferences, foreign Judges and legal scholars are increasingly invited to observe proceedings, fostering cross-judicial dialogue.</w:t>
      </w:r>
    </w:p>
    <w:bookmarkEnd w:id="32"/>
    <w:bookmarkEnd w:id="33"/>
    <w:bookmarkStart w:id="35" w:name="findings"/>
    <w:bookmarkStart w:id="34" w:name="presentation-findings"/>
    <w:p>
      <w:pPr>
        <w:pStyle w:val="Heading2"/>
      </w:pPr>
      <w:r>
        <w:t xml:space="preserve">Presentation Findings</w:t>
      </w:r>
    </w:p>
    <w:p>
      <w:pPr>
        <w:pStyle w:val="FirstParagraph"/>
      </w:pPr>
      <w:r>
        <w:t xml:space="preserve">The data suggests a shifting paradigm. The role of the Judge in Japan is transitioning from a purely administrative functionary to a more active defender of procedural rights. However, this transition is uneven. In Kyoto, where tradition runs deep, the Judge must work harder to assert independence against implicit societal pressures.</w:t>
      </w:r>
    </w:p>
    <w:p>
      <w:pPr>
        <w:pStyle w:val="BodyText"/>
      </w:pPr>
      <w:r>
        <w:rPr>
          <w:bCs/>
          <w:b/>
        </w:rPr>
        <w:t xml:space="preserve">Conclusion:</w:t>
      </w:r>
      <w:r>
        <w:t xml:space="preserve"> </w:t>
      </w:r>
      <w:r>
        <w:t xml:space="preserve">The Judge in Japan Kyoto is caught between the weight of history and the demands of modern justice. Their effectiveness relies on maintaining judicial independence while respecting cultural nuances.</w:t>
      </w:r>
    </w:p>
    <w:bookmarkEnd w:id="34"/>
    <w:bookmarkEnd w:id="35"/>
    <w:bookmarkStart w:id="37" w:name="references"/>
    <w:bookmarkStart w:id="36" w:name="select-references"/>
    <w:p>
      <w:pPr>
        <w:pStyle w:val="Heading2"/>
      </w:pPr>
      <w:r>
        <w:t xml:space="preserve">Select References</w:t>
      </w:r>
    </w:p>
    <w:p>
      <w:pPr>
        <w:pStyle w:val="FirstParagraph"/>
      </w:pPr>
      <w:r>
        <w:t xml:space="preserve">1. Miyazawa, S. (2017). *The Japanese Legal System*. University of Tokyo Press.</w:t>
      </w:r>
      <w:r>
        <w:br/>
      </w:r>
      <w:r>
        <w:t xml:space="preserve">2. Takahashi, H., &amp; Hayami, Y. (2013). *Judicial Reform in Japan*. Routledge.</w:t>
      </w:r>
      <w:r>
        <w:br/>
      </w:r>
      <w:r>
        <w:t xml:space="preserve">3. Kyoto District Court Annual Report (2022). Supreme Court of Japan Data.</w:t>
      </w:r>
    </w:p>
    <w:bookmarkEnd w:id="36"/>
    <w:bookmarkEnd w:id="37"/>
    <w:p>
      <w:pPr>
        <w:pStyle w:val="BodyText"/>
      </w:pPr>
      <w:r>
        <w:t xml:space="preserve">© 2023 Academic Symposium on Asian Law | Presented in Japan Kyoto</w:t>
      </w:r>
    </w:p>
    <w:p>
      <w:pPr>
        <w:pStyle w:val="BodyText"/>
      </w:pPr>
      <w:r>
        <w:rPr>
          <w:iCs/>
          <w:i/>
        </w:rPr>
        <w:t xml:space="preserve">This document serves as a comprehensive academic poster presentation regarding the role of the Judge within the legal framework of Japan, specifically analyzing contextual factors in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Judge in Japanese Judicial Contexts</dc:title>
  <dc:creator/>
  <dc:language>en</dc:language>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