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Judiciary</w:t>
      </w:r>
      <w:r>
        <w:t xml:space="preserve"> </w:t>
      </w:r>
      <w:r>
        <w:t xml:space="preserve">of</w:t>
      </w:r>
      <w:r>
        <w:t xml:space="preserve"> </w:t>
      </w:r>
      <w:r>
        <w:t xml:space="preserve">Myanmar</w:t>
      </w:r>
      <w:r>
        <w:t xml:space="preserve"> </w:t>
      </w:r>
      <w:r>
        <w:t xml:space="preserve">Yangon</w:t>
      </w:r>
    </w:p>
    <w:bookmarkStart w:id="21" w:name="Xbc1ff77a0ba63e64d43aa1c5ab814e86f91dd19"/>
    <w:p>
      <w:pPr>
        <w:pStyle w:val="Heading1"/>
      </w:pPr>
      <w:r>
        <w:t xml:space="preserve">The Role and Evolution of the Judge in Myanmar Yangon</w:t>
      </w:r>
    </w:p>
    <w:bookmarkStart w:id="20" w:name="X04c20518b466b1a41d34dcb2e430787a1ef348b"/>
    <w:p>
      <w:pPr>
        <w:pStyle w:val="Heading2"/>
      </w:pPr>
      <w:r>
        <w:t xml:space="preserve">Judicial Reform, Constitutional Challenges, and Contemporary Legal Frameworks</w:t>
      </w:r>
    </w:p>
    <w:bookmarkEnd w:id="20"/>
    <w:bookmarkEnd w:id="21"/>
    <w:p>
      <w:pPr>
        <w:pStyle w:val="FirstParagraph"/>
      </w:pPr>
      <w:r>
        <w:rPr>
          <w:bCs/>
          <w:b/>
        </w:rPr>
        <w:t xml:space="preserve">Presentation Author:</w:t>
      </w:r>
      <w:r>
        <w:t xml:space="preserve"> </w:t>
      </w:r>
      <w:r>
        <w:t xml:space="preserve">Academic Researcher Group on Southeast Asian Law</w:t>
      </w:r>
    </w:p>
    <w:p>
      <w:pPr>
        <w:pStyle w:val="BodyText"/>
      </w:pPr>
      <w:r>
        <w:rPr>
          <w:iCs/>
          <w:i/>
        </w:rPr>
        <w:t xml:space="preserve">Institute of Legal Studies, Yangon, Myanmar</w:t>
      </w:r>
    </w:p>
    <w:bookmarkStart w:id="22" w:name="introduction-and-abstract"/>
    <w:p>
      <w:pPr>
        <w:pStyle w:val="Heading2"/>
      </w:pPr>
      <w:r>
        <w:t xml:space="preserve">Introduction and Abstract</w:t>
      </w:r>
    </w:p>
    <w:p>
      <w:pPr>
        <w:pStyle w:val="FirstParagraph"/>
      </w:pPr>
      <w:r>
        <w:t xml:space="preserve">The judiciary in Myanmar Yangon stands at a critical juncture, reflecting the complex interplay between historical colonial legacies, military-dominated political structures, and recent attempts at democratic liberalization. This academic presentation examines the multifaceted role of the Judge within this evolving landscape. Historically rooted in British Common Law traditions introduced during colonial rule, Myanmar’s legal system has undergone significant transformations following independence in 1948. The contemporary judiciary faces profound challenges related to judicial independence, transparency, and access to justice.</w:t>
      </w:r>
    </w:p>
    <w:p>
      <w:pPr>
        <w:pStyle w:val="BodyText"/>
      </w:pPr>
      <w:r>
        <w:t xml:space="preserve">This study analyzes how judges operate amidst political pressures, interpreting laws that have often been amended to serve state interests rather than citizen rights. By focusing on Yangon—the economic hub and former capital—we explore the practical realities faced by judges in handling civil disputes, criminal cases involving national security statutes such as Section 505(a) of the Penal Code, and commercial litigation. The research highlights discrepancies between statutory mandates for judicial autonomy and the operational constraints imposed by executive oversight.</w:t>
      </w:r>
    </w:p>
    <w:bookmarkEnd w:id="22"/>
    <w:bookmarkStart w:id="23" w:name="historical-context-of-the-judge"/>
    <w:p>
      <w:pPr>
        <w:pStyle w:val="Heading2"/>
      </w:pPr>
      <w:r>
        <w:t xml:space="preserve">Historical Context of the Judge</w:t>
      </w:r>
    </w:p>
    <w:p>
      <w:pPr>
        <w:pStyle w:val="FirstParagraph"/>
      </w:pPr>
      <w:r>
        <w:t xml:space="preserve">To understand the current position of any judge in Myanmar Yangon, one must first appreciate the historical trajectory of its legal system. During British colonial rule (1824–1948), a hierarchical court structure was established that mirrored English common law principles. This era institutionalized the role of professional judges who were expected to adjudicate based on codified laws and precedents set by higher courts like the Supreme Court of Burma.</w:t>
      </w:r>
    </w:p>
    <w:p>
      <w:pPr>
        <w:pStyle w:val="BodyText"/>
      </w:pPr>
      <w:r>
        <w:t xml:space="preserve">Upon independence, Myanmar retained much of this colonial framework but began to infuse it with local characteristics and Buddhist ethical considerations. However, the political instability that plagued the nation from 1962 onwards, marked by Ne Win’s coup and subsequent socialist regimes, severely eroded judicial independence. The concept of a "People's Court" emerged under military rule, where judges were often appointed based on loyalty to the regime rather than legal merit or expertise.</w:t>
      </w:r>
    </w:p>
    <w:p>
      <w:pPr>
        <w:pStyle w:val="BodyText"/>
      </w:pPr>
      <w:r>
        <w:t xml:space="preserve">The transition period beginning around 2011 brought hopes for reform. The introduction of new laws, including the Law on the Union Judiciary and regional judiciary laws, theoretically strengthened safeguards for judicial independence. Yet, in practice many judges in Yangon continue to navigate a precarious environment where political expediency often overrides legal rigor.</w:t>
      </w:r>
    </w:p>
    <w:bookmarkEnd w:id="23"/>
    <w:bookmarkStart w:id="24" w:name="contemporary-challenges-for-judges"/>
    <w:p>
      <w:pPr>
        <w:pStyle w:val="Heading2"/>
      </w:pPr>
      <w:r>
        <w:t xml:space="preserve">Contemporary Challenges for Judges</w:t>
      </w:r>
    </w:p>
    <w:p>
      <w:pPr>
        <w:pStyle w:val="FirstParagraph"/>
      </w:pPr>
      <w:r>
        <w:t xml:space="preserve">In modern Myanmar Yangon, the judge operates within a system characterized by significant structural and cultural challenges. One of the most pressing issues is political interference in judicial proceedings. While the constitution nominally guarantees judicial independence, in reality judges frequently face pressure from higher authorities when handling cases that touch upon sensitive political topics or involve powerful individuals.</w:t>
      </w:r>
    </w:p>
    <w:p>
      <w:pPr>
        <w:pStyle w:val="BodyText"/>
      </w:pPr>
      <w:r>
        <w:t xml:space="preserve">This dynamic undermines public trust in the judiciary and discourages citizens from seeking legal recourse through formal channels. For instance, during periods of heightened political tension involving protests against military actions or controversial legislation, judges may hesitate to issue rulings that contradict official government narratives. Fear of retaliation—including transfer to remote postings or disciplinary action—creates a chilling effect on judicial decision-making.</w:t>
      </w:r>
    </w:p>
    <w:p>
      <w:pPr>
        <w:pStyle w:val="BodyText"/>
      </w:pPr>
      <w:r>
        <w:t xml:space="preserve">Additionally, capacity constraints remain a significant hurdle for judges in Myanmar Yangon. Many courtrooms lack basic technological resources such as reliable internet access or digital case management systems, forcing reliance on paper-based processes that are slow and prone to loss. Furthermore, continuing legal education opportunities are limited compared to international standards meaning some judges may not be fully updated with recent developments in human rights law or commercial arbitration practices.</w:t>
      </w:r>
    </w:p>
    <w:bookmarkEnd w:id="24"/>
    <w:bookmarkStart w:id="25" w:name="reform-efforts-and-future-directions"/>
    <w:p>
      <w:pPr>
        <w:pStyle w:val="Heading2"/>
      </w:pPr>
      <w:r>
        <w:t xml:space="preserve">Reform Efforts and Future Directions</w:t>
      </w:r>
    </w:p>
    <w:p>
      <w:pPr>
        <w:pStyle w:val="FirstParagraph"/>
      </w:pPr>
      <w:r>
        <w:t xml:space="preserve">Acknowledging these deficiencies various stakeholders have initiated reform efforts aimed at enhancing the functionality and credibility of Myanmar’s judiciary specifically within Yangon. The establishment of specialized courts such as the Tax Court, Labor Dispute Resolution Tribunal demonstrates recognition by policymakers that complex economic activities require expert adjudication beyond generalist magistrates.</w:t>
      </w:r>
    </w:p>
    <w:p>
      <w:pPr>
        <w:pStyle w:val="BodyText"/>
      </w:pPr>
      <w:r>
        <w:t xml:space="preserve">International organizations partner with local legal institutions in Yangon to provide training programs focused on ethical conduct, case management efficiency and interpretation of international treaties ratified by Myanmar. These initiatives empower individual judges to adopt best practices while maintaining cultural relevance.</w:t>
      </w:r>
    </w:p>
    <w:bookmarkEnd w:id="25"/>
    <w:bookmarkStart w:id="26" w:name="conclusion"/>
    <w:p>
      <w:pPr>
        <w:pStyle w:val="Heading2"/>
      </w:pPr>
      <w:r>
        <w:t xml:space="preserve">Conclusion</w:t>
      </w:r>
    </w:p>
    <w:p>
      <w:pPr>
        <w:pStyle w:val="FirstParagraph"/>
      </w:pPr>
      <w:r>
        <w:t xml:space="preserve">In conclusion, the role of the judge in Myanmar Yangon is pivotal yet fraught with complexity stemming from historical legacies and contemporary political realities. While significant progress has been made towards institutionalizing judicial reforms there remains substantial work required to ensure true independence and impartiality.</w:t>
      </w:r>
    </w:p>
    <w:p>
      <w:pPr>
        <w:pStyle w:val="BodyText"/>
      </w:pPr>
      <w:r>
        <w:t xml:space="preserve">Future research should focus on longitudinal studies assessing impact specific reform measures introduced post-2015 electoral cycles. Strengthening civil society oversight mechanisms alongside enhanced judicial training curricula could foster greater accountability among judges serving in Yangon’s courts ultimately contributing towards establishing robust rule of law essential for sustainable development and social cohesion within Myanmar.</w:t>
      </w:r>
    </w:p>
    <w:bookmarkEnd w:id="26"/>
    <w:bookmarkStart w:id="27" w:name="references"/>
    <w:p>
      <w:pPr>
        <w:pStyle w:val="Heading2"/>
      </w:pPr>
      <w:r>
        <w:t xml:space="preserve">References</w:t>
      </w:r>
    </w:p>
    <w:p>
      <w:pPr>
        <w:numPr>
          <w:ilvl w:val="0"/>
          <w:numId w:val="1001"/>
        </w:numPr>
        <w:pStyle w:val="Compact"/>
      </w:pPr>
      <w:r>
        <w:t xml:space="preserve">Brown, R. (2019). *Justice Delayed: The State of the Judiciary in Burma*. Journal of Southeast Asian Law.</w:t>
      </w:r>
    </w:p>
    <w:p>
      <w:pPr>
        <w:numPr>
          <w:ilvl w:val="0"/>
          <w:numId w:val="1001"/>
        </w:numPr>
        <w:pStyle w:val="Compact"/>
      </w:pPr>
      <w:r>
        <w:t xml:space="preserve">Miyazawa, S. (2018). *Legal Transplantation and Judicial Independence in Myanmar*. Harvard Asia Pacific Law Review.</w:t>
      </w:r>
    </w:p>
    <w:p>
      <w:pPr>
        <w:numPr>
          <w:ilvl w:val="0"/>
          <w:numId w:val="1001"/>
        </w:numPr>
        <w:pStyle w:val="Compact"/>
      </w:pPr>
      <w:r>
        <w:t xml:space="preserve">National Human Rights Commission of Myanmar. (2020). *Annual Report on Access to Justice in Yangon Region*.</w:t>
      </w:r>
    </w:p>
    <w:p>
      <w:pPr>
        <w:numPr>
          <w:ilvl w:val="0"/>
          <w:numId w:val="1001"/>
        </w:numPr>
        <w:pStyle w:val="Compact"/>
      </w:pPr>
      <w:r>
        <w:t xml:space="preserve">Thein, K. (2017). *Constitutional Law and the Role of Judges in Post-Transition Myanmar*. Yangon University Law Journal.</w:t>
      </w:r>
    </w:p>
    <w:bookmarkEnd w:id="27"/>
    <w:p>
      <w:pPr>
        <w:pStyle w:val="FirstParagraph"/>
      </w:pPr>
      <w:r>
        <w:rPr>
          <w:bCs/>
          <w:b/>
        </w:rPr>
        <w:t xml:space="preserve">Contact:</w:t>
      </w:r>
      <w:r>
        <w:t xml:space="preserve"> </w:t>
      </w:r>
      <w:r>
        <w:t xml:space="preserve">research@myanmarlegalstudies.org |</w:t>
      </w:r>
      <w:r>
        <w:t xml:space="preserve"> </w:t>
      </w:r>
      <w:r>
        <w:rPr>
          <w:iCs/>
          <w:i/>
        </w:rPr>
        <w:t xml:space="preserve">Presentation Date: October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Judiciary of Myanmar Yangon</dc:title>
  <dc:creator/>
  <dc:language>en</dc:language>
  <cp:keywords/>
  <dcterms:created xsi:type="dcterms:W3CDTF">2026-07-29T06:12:13Z</dcterms:created>
  <dcterms:modified xsi:type="dcterms:W3CDTF">2026-07-29T06:12:13Z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