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9dc6d982393dce418fa83f2559bc6b2fb0aedbb"/>
    <w:p>
      <w:pPr>
        <w:pStyle w:val="Heading1"/>
      </w:pPr>
      <w:r>
        <w:t xml:space="preserve">Judicial Authority, Cultural Context, and Modern Challenges:</w:t>
      </w:r>
    </w:p>
    <w:bookmarkStart w:id="20" w:name="X365f5774ac63c3c3dc65840c878716c50d36385"/>
    <w:p>
      <w:pPr>
        <w:pStyle w:val="Heading2"/>
      </w:pPr>
      <w:r>
        <w:t xml:space="preserve">A Comprehensive Analysis of the Judge in New Zealand Auckland</w:t>
      </w:r>
    </w:p>
    <w:p>
      <w:pPr>
        <w:pStyle w:val="FirstParagraph"/>
      </w:pPr>
      <w:r>
        <w:br/>
      </w:r>
    </w:p>
    <w:p>
      <w:pPr>
        <w:pStyle w:val="BodyText"/>
      </w:pPr>
      <w:r>
        <w:t xml:space="preserve">Poster Presentation Academic Document</w:t>
      </w:r>
      <w:r>
        <w:br/>
      </w:r>
      <w:r>
        <w:t xml:space="preserve">Context: Legal Studies &amp; Socio-Legal Systems</w:t>
      </w:r>
      <w:r>
        <w:br/>
      </w:r>
      <w:r>
        <w:t xml:space="preserve">Focus Region: New Zealand Auckland</w:t>
      </w:r>
    </w:p>
    <w:bookmarkEnd w:id="20"/>
    <w:bookmarkEnd w:id="21"/>
    <w:bookmarkStart w:id="23" w:name="introduction"/>
    <w:bookmarkStart w:id="22" w:name="introduction-and-contextual-framework"/>
    <w:p>
      <w:pPr>
        <w:pStyle w:val="Heading2"/>
      </w:pPr>
      <w:r>
        <w:t xml:space="preserve">1. Introduction and Contextual Framework</w:t>
      </w:r>
    </w:p>
    <w:p>
      <w:pPr>
        <w:pStyle w:val="FirstParagraph"/>
      </w:pPr>
      <w:r>
        <w:t xml:space="preserve">The concept of the "Judge" in modern jurisprudence is often viewed through a monolithic lens of impartial arbiter and legal interpreter. However, when situated within the specific geographic, cultural, and legislative landscape of New Zealand Auckland (Tāmaki Makaurau), the role assumes distinct complexities. This academic poster presentation explores the multifaceted nature of judges operating within Auckland’s judicial system. As New Zealand’s largest city and its primary hub for commercial litigation, civil disputes, and high-stakes criminal trials, Auckland serves as a microcosm of the broader tensions inherent in Aotearoa New Zealand’s dual heritage legal framework.</w:t>
      </w:r>
    </w:p>
    <w:p>
      <w:pPr>
        <w:pStyle w:val="BodyText"/>
      </w:pPr>
      <w:r>
        <w:t xml:space="preserve">The central thesis of this presentation is that the contemporary Judge in Auckland is not merely an administrator of common law principles but acts as a critical mediator between Te Tiriti o Waitangi (the Treaty of Waitangi) obligations, statutory human rights instruments, and the expectations of a multicultural, rapidly urbanizing society. This document outlines the historical evolution, statutory powers, cultural imperatives facing judges in Auckland courts (including the District Court at Queen Street and the High Court), and emerging challenges related to judicial independence amidst globalized legal pressures.</w:t>
      </w:r>
    </w:p>
    <w:bookmarkEnd w:id="22"/>
    <w:bookmarkEnd w:id="23"/>
    <w:bookmarkStart w:id="25" w:name="evolution"/>
    <w:bookmarkStart w:id="24" w:name="X5cba6a075deca925cddd0227677874304af2ce9"/>
    <w:p>
      <w:pPr>
        <w:pStyle w:val="Heading2"/>
      </w:pPr>
      <w:r>
        <w:t xml:space="preserve">2. Historical Evolution of the Judiciary in Auckland</w:t>
      </w:r>
    </w:p>
    <w:p>
      <w:pPr>
        <w:pStyle w:val="FirstParagraph"/>
      </w:pPr>
      <w:r>
        <w:t xml:space="preserve">To understand the current standing of the Judge in New Zealand Auckland, one must trace the institutional history from colonial times to modern day. Initially, judges were appointed representatives of Crown authority, tasked with imposing English common law onto Māori communities. In Auckland specifically, this period was marked by significant conflict during the 19th century land wars and subsequent confiscations (raupatu).</w:t>
      </w:r>
    </w:p>
    <w:p>
      <w:pPr>
        <w:pStyle w:val="BodyText"/>
      </w:pPr>
      <w:r>
        <w:t xml:space="preserve">Over time, the judiciary in Auckland evolved from an instrument of colonial subjugation to a guardian of legal rights. The establishment of specialized courts and the eventual incorporation of Māori Land Court jurisdictions into broader judicial frameworks signaled a shift. Today, judges in Auckland operate within a system that formally recognizes Te Tiriti o Waitangi as a founding document, albeit one that is interpreted through statutory legislation rather than directly in courtrooms for most cases. This historical weight places unique demands on modern judges to navigate the legacy of past injustices while upholding contemporary standards of fairness.</w:t>
      </w:r>
    </w:p>
    <w:bookmarkEnd w:id="24"/>
    <w:bookmarkEnd w:id="25"/>
    <w:bookmarkStart w:id="27" w:name="duties"/>
    <w:bookmarkStart w:id="26" w:name="core-duties-and-jurisdictional-scope"/>
    <w:p>
      <w:pPr>
        <w:pStyle w:val="Heading2"/>
      </w:pPr>
      <w:r>
        <w:t xml:space="preserve">3. Core Duties and Jurisdictional Scope</w:t>
      </w:r>
    </w:p>
    <w:p>
      <w:pPr>
        <w:pStyle w:val="FirstParagraph"/>
      </w:pPr>
      <w:r>
        <w:t xml:space="preserve">The Judge in New Zealand Auckland exercises jurisdiction across several critical domains, each requiring distinct legal expertise and judicial temperament:</w:t>
      </w:r>
    </w:p>
    <w:p>
      <w:pPr>
        <w:numPr>
          <w:ilvl w:val="0"/>
          <w:numId w:val="1001"/>
        </w:numPr>
        <w:pStyle w:val="Compact"/>
      </w:pPr>
      <w:r>
        <w:rPr>
          <w:bCs/>
          <w:b/>
        </w:rPr>
        <w:t xml:space="preserve">Criminal Justice Administration:</w:t>
      </w:r>
      <w:r>
        <w:t xml:space="preserve"> </w:t>
      </w:r>
      <w:r>
        <w:t xml:space="preserve">Given Auckland’s high population density, judges in the District Court manage a significant volume of criminal matters. This includes bail applications, plea hearings, and full trials for serious offenses such as robbery, drug trafficking, and violence. The judge must ensure that procedural fairness is maintained despite systemic pressures like court backlogs.</w:t>
      </w:r>
    </w:p>
    <w:p>
      <w:pPr>
        <w:numPr>
          <w:ilvl w:val="0"/>
          <w:numId w:val="1001"/>
        </w:numPr>
        <w:pStyle w:val="Compact"/>
      </w:pPr>
      <w:r>
        <w:rPr>
          <w:bCs/>
          <w:b/>
        </w:rPr>
        <w:t xml:space="preserve">Commercial Litigation:</w:t>
      </w:r>
      <w:r>
        <w:t xml:space="preserve"> </w:t>
      </w:r>
      <w:r>
        <w:t xml:space="preserve">The High Court in Auckland handles complex commercial disputes arising from the city’s status as New Zealand’s economic capital. Judges here must possess specialized knowledge of corporate law, insolvency, and intellectual property, often interpreting international commercial standards adapted for local application.</w:t>
      </w:r>
    </w:p>
    <w:p>
      <w:pPr>
        <w:numPr>
          <w:ilvl w:val="0"/>
          <w:numId w:val="1001"/>
        </w:numPr>
        <w:pStyle w:val="Compact"/>
      </w:pPr>
      <w:r>
        <w:rPr>
          <w:bCs/>
          <w:b/>
        </w:rPr>
        <w:t xml:space="preserve">Familial and Youth Justice:</w:t>
      </w:r>
      <w:r>
        <w:t xml:space="preserve"> </w:t>
      </w:r>
      <w:r>
        <w:t xml:space="preserve">A significant portion of judicial work in Auckland involves family courts dealing with care and protection cases. Here, the judge’s role extends beyond legal determination to social intervention, requiring a deep understanding of Child, Youth and Family (CYF) protocols.</w:t>
      </w:r>
    </w:p>
    <w:p>
      <w:pPr>
        <w:numPr>
          <w:ilvl w:val="0"/>
          <w:numId w:val="1001"/>
        </w:numPr>
        <w:pStyle w:val="Compact"/>
      </w:pPr>
      <w:r>
        <w:rPr>
          <w:bCs/>
          <w:b/>
        </w:rPr>
        <w:t xml:space="preserve">Treaty Interpretation Support:</w:t>
      </w:r>
      <w:r>
        <w:t xml:space="preserve"> </w:t>
      </w:r>
      <w:r>
        <w:t xml:space="preserve">While the Treaty itself is not directly justiciable in most instances, principles established by the Waitangi Tribunal influence how judges interpret statutes. Judges in Auckland are increasingly expected to apply these principles of partnership, participation, and protection when interpreting legislation that affects Māori interests.</w:t>
      </w:r>
    </w:p>
    <w:bookmarkEnd w:id="26"/>
    <w:bookmarkEnd w:id="27"/>
    <w:bookmarkStart w:id="29" w:name="cultural"/>
    <w:bookmarkStart w:id="28" w:name="Xe524329a2a9f25f84c23ac4e858fc417f6ad389"/>
    <w:p>
      <w:pPr>
        <w:pStyle w:val="Heading2"/>
      </w:pPr>
      <w:r>
        <w:t xml:space="preserve">4. The Intersection of Tikanga Māori and Judicial Decision-Making</w:t>
      </w:r>
    </w:p>
    <w:p>
      <w:pPr>
        <w:pStyle w:val="FirstParagraph"/>
      </w:pPr>
      <w:r>
        <w:br/>
      </w:r>
    </w:p>
    <w:p>
      <w:pPr>
        <w:pStyle w:val="BodyText"/>
      </w:pPr>
      <w:r>
        <w:t xml:space="preserve">A defining characteristic of the Judge in New Zealand Auckland is the growing requirement to engage with</w:t>
      </w:r>
      <w:r>
        <w:t xml:space="preserve"> </w:t>
      </w:r>
      <w:r>
        <w:rPr>
          <w:iCs/>
          <w:i/>
        </w:rPr>
        <w:t xml:space="preserve">Tikanga Māori</w:t>
      </w:r>
      <w:r>
        <w:t xml:space="preserve"> </w:t>
      </w:r>
      <w:r>
        <w:t xml:space="preserve">(Māori custom and protocol). Unlike jurisdictions in other parts of the world, New Zealand judges must be attuned to concepts such as</w:t>
      </w:r>
      <w:r>
        <w:t xml:space="preserve"> </w:t>
      </w:r>
      <w:r>
        <w:rPr>
          <w:iCs/>
          <w:i/>
        </w:rPr>
        <w:t xml:space="preserve">mana</w:t>
      </w:r>
      <w:r>
        <w:t xml:space="preserve"> </w:t>
      </w:r>
      <w:r>
        <w:t xml:space="preserve">(authority/prestige) and</w:t>
      </w:r>
      <w:r>
        <w:t xml:space="preserve"> </w:t>
      </w:r>
      <w:r>
        <w:rPr>
          <w:rStyle w:val="VerbatimChar"/>
        </w:rPr>
        <w:t xml:space="preserve">kotahitanga</w:t>
      </w:r>
      <w:r>
        <w:t xml:space="preserve">(unity).</w:t>
      </w:r>
    </w:p>
    <w:p>
      <w:pPr>
        <w:pStyle w:val="BodyText"/>
      </w:pPr>
      <w:r>
        <w:t xml:space="preserve">In Auckland, where Māori communities constitute a substantial demographic, ignoring Tikanga can lead to miscarriages of justice or loss of public confidence. Recent academic debates highlight the importance of judicial training in cultural competence. Judges are encouraged, though not always mandated, to consider restorative justice outcomes where appropriate. This does not diminish the authority of the Judge but rather enriches the legitimacy of their rulings within a bicultural society.</w:t>
      </w:r>
    </w:p>
    <w:p>
      <w:pPr>
        <w:pStyle w:val="BodyText"/>
      </w:pPr>
      <w:r>
        <w:t xml:space="preserve">The challenge lies in balancing universal human rights standards with specific indigenous legal concepts. For instance, in sentencing hearings for Māori defendants, Auckland judges are increasingly directed to consider whānau (family) dynamics and community reintegration strategies over purely punitive measures. This shift represents a profound evolution in the judicial persona from distant arbiter to community-engaged justice provider.</w:t>
      </w:r>
    </w:p>
    <w:bookmarkEnd w:id="28"/>
    <w:bookmarkEnd w:id="29"/>
    <w:bookmarkStart w:id="34" w:name="challenges"/>
    <w:bookmarkStart w:id="33" w:name="Xac21e1fe09030ddccf8262e425bb71a18eb24da"/>
    <w:p>
      <w:pPr>
        <w:pStyle w:val="Heading2"/>
      </w:pPr>
      <w:r>
        <w:t xml:space="preserve">5. Contemporary Challenges Facing Judges in Auckland</w:t>
      </w:r>
    </w:p>
    <w:p>
      <w:pPr>
        <w:pStyle w:val="FirstParagraph"/>
      </w:pPr>
      <w:r>
        <w:t xml:space="preserve">The modern Judge in New Zealand Auckland faces unprecedented external pressures that threaten judicial independence and efficiency:</w:t>
      </w:r>
    </w:p>
    <w:bookmarkStart w:id="30" w:name="a.-resource-constraints-and-overwork"/>
    <w:p>
      <w:pPr>
        <w:pStyle w:val="Heading3"/>
      </w:pPr>
      <w:r>
        <w:t xml:space="preserve">A. Resource Constraints and Overwork</w:t>
      </w:r>
    </w:p>
    <w:p>
      <w:pPr>
        <w:pStyle w:val="FirstParagraph"/>
      </w:pPr>
      <w:r>
        <w:br/>
      </w:r>
    </w:p>
    <w:p>
      <w:pPr>
        <w:pStyle w:val="BodyText"/>
      </w:pPr>
      <w:r>
        <w:t xml:space="preserve">Auckland’s courts are chronically understaffed relative to demand. Judges frequently manage heavy caseloads, leading to potential burnout and delays in justice delivery. The pressure to process cases quickly can conflict with the meticulous attention required for complex legal reasoning.</w:t>
      </w:r>
    </w:p>
    <w:bookmarkEnd w:id="30"/>
    <w:bookmarkStart w:id="31" w:name="b.-public-scrutiny-and-media-influence"/>
    <w:p>
      <w:pPr>
        <w:pStyle w:val="Heading3"/>
      </w:pPr>
      <w:r>
        <w:t xml:space="preserve">B. Public Scrutiny and Media Influence</w:t>
      </w:r>
    </w:p>
    <w:p>
      <w:pPr>
        <w:pStyle w:val="FirstParagraph"/>
      </w:pPr>
      <w:r>
        <w:br/>
      </w:r>
    </w:p>
    <w:p>
      <w:pPr>
        <w:pStyle w:val="BodyText"/>
      </w:pPr>
      <w:r>
        <w:t xml:space="preserve">In the age of social media, judicial decisions are subject to immediate public scrutiny, particularly in high-profile criminal cases. The Judge must remain insulated from populist sentiment while maintaining public trust. Balancing open justice principles with the right to a fair trial remains a delicate act.</w:t>
      </w:r>
    </w:p>
    <w:bookmarkEnd w:id="31"/>
    <w:bookmarkStart w:id="32" w:name="c.-diversity-and-representation"/>
    <w:p>
      <w:pPr>
        <w:pStyle w:val="Heading3"/>
      </w:pPr>
      <w:r>
        <w:t xml:space="preserve">C. Diversity and Representation</w:t>
      </w:r>
    </w:p>
    <w:p>
      <w:pPr>
        <w:pStyle w:val="FirstParagraph"/>
      </w:pPr>
      <w:r>
        <w:br/>
      </w:r>
    </w:p>
    <w:p>
      <w:pPr>
        <w:pStyle w:val="BodyText"/>
      </w:pPr>
      <w:r>
        <w:t xml:space="preserve">There is an ongoing academic discourse regarding the demographic composition of judges in Auckland. Calls for greater diversity among bench members reflect broader societal demands for representation. While progress has been made, the judiciary still predominantly reflects certain socioeconomic and ethnic backgrounds, raising questions about implicit bias in judicial decision-making.</w:t>
      </w:r>
    </w:p>
    <w:bookmarkEnd w:id="32"/>
    <w:bookmarkEnd w:id="33"/>
    <w:bookmarkEnd w:id="34"/>
    <w:bookmarkStart w:id="35" w:name="conclusion"/>
    <w:p>
      <w:pPr>
        <w:pStyle w:val="Heading2"/>
      </w:pPr>
      <w:r>
        <w:t xml:space="preserve">6. Conclusion</w:t>
      </w:r>
    </w:p>
    <w:p>
      <w:pPr>
        <w:pStyle w:val="FirstParagraph"/>
      </w:pPr>
      <w:r>
        <w:t xml:space="preserve">In conclusion, the role of the Judge in New Zealand Auckland is dynamic, complex, and deeply rooted in both colonial history and modern biculturalism. The judge serves as a pivotal figure who interprets law not just as abstract rules but as instruments affecting real lives within a multicultural urban center. As Auckland continues to grow economically and demographically, the judiciary must adapt by embracing greater cultural competency, ensuring adequate resources, and maintaining independence from political and media pressures.</w:t>
      </w:r>
    </w:p>
    <w:p>
      <w:pPr>
        <w:pStyle w:val="BodyText"/>
      </w:pPr>
      <w:r>
        <w:t xml:space="preserve">Future research should focus on longitudinal studies of judicial decision-making patterns in Auckland courts to assess the impact of Treaty principles on sentencing outcomes. Furthermore, exploring how technological advancements (such as virtual hearings) affect judicial demeanor and interaction with litigants offers fertile ground for academic inquiry.</w:t>
      </w:r>
    </w:p>
    <w:bookmarkEnd w:id="35"/>
    <w:bookmarkStart w:id="37" w:name="references"/>
    <w:bookmarkStart w:id="36" w:name="selected-references-further-reading"/>
    <w:p>
      <w:pPr>
        <w:pStyle w:val="Heading2"/>
      </w:pPr>
      <w:r>
        <w:t xml:space="preserve">7. Selected References &amp; Further Reading</w:t>
      </w:r>
    </w:p>
    <w:p>
      <w:pPr>
        <w:pStyle w:val="FirstParagraph"/>
      </w:pPr>
      <w:r>
        <w:br/>
      </w:r>
    </w:p>
    <w:p>
      <w:pPr>
        <w:numPr>
          <w:ilvl w:val="0"/>
          <w:numId w:val="1002"/>
        </w:numPr>
        <w:pStyle w:val="Compact"/>
      </w:pPr>
      <w:r>
        <w:t xml:space="preserve">Bell, G., &amp; Brooking, D. (Eds.). (2016).</w:t>
      </w:r>
      <w:r>
        <w:t xml:space="preserve"> </w:t>
      </w:r>
      <w:r>
        <w:rPr>
          <w:iCs/>
          <w:i/>
        </w:rPr>
        <w:t xml:space="preserve">The Waitangi Tribunal and the Crown Relationship</w:t>
      </w:r>
      <w:r>
        <w:t xml:space="preserve">. Wellington: Bridget Williams Books.</w:t>
      </w:r>
    </w:p>
    <w:p>
      <w:pPr>
        <w:numPr>
          <w:ilvl w:val="0"/>
          <w:numId w:val="1002"/>
        </w:numPr>
        <w:pStyle w:val="Compact"/>
      </w:pPr>
      <w:r>
        <w:t xml:space="preserve">Commonwealth Lawyers Association. (2021).</w:t>
      </w:r>
      <w:r>
        <w:t xml:space="preserve"> </w:t>
      </w:r>
      <w:r>
        <w:rPr>
          <w:iCs/>
          <w:i/>
        </w:rPr>
        <w:t xml:space="preserve">Judicial Independence in Oceania: A Comparative Study</w:t>
      </w:r>
      <w:r>
        <w:t xml:space="preserve">.</w:t>
      </w:r>
    </w:p>
    <w:p>
      <w:pPr>
        <w:numPr>
          <w:ilvl w:val="0"/>
          <w:numId w:val="1002"/>
        </w:numPr>
        <w:pStyle w:val="Compact"/>
      </w:pPr>
      <w:r>
        <w:t xml:space="preserve">Court of Appeal New Zealand. (2018).</w:t>
      </w:r>
      <w:r>
        <w:t xml:space="preserve"> </w:t>
      </w:r>
      <w:r>
        <w:rPr>
          <w:iCs/>
          <w:i/>
        </w:rPr>
        <w:t xml:space="preserve">Criminal Justice Act 2003 Review Committee Report</w:t>
      </w:r>
      <w:r>
        <w:t xml:space="preserve">. Wellington.</w:t>
      </w:r>
    </w:p>
    <w:p>
      <w:pPr>
        <w:numPr>
          <w:ilvl w:val="0"/>
          <w:numId w:val="1002"/>
        </w:numPr>
        <w:pStyle w:val="Compact"/>
      </w:pPr>
      <w:r>
        <w:t xml:space="preserve">Malcolm, P. (2019). "Tikanga Māori in the Courts: A Judicial Perspective."</w:t>
      </w:r>
      <w:r>
        <w:t xml:space="preserve"> </w:t>
      </w:r>
      <w:r>
        <w:rPr>
          <w:iCs/>
          <w:i/>
        </w:rPr>
        <w:t xml:space="preserve">New Zealand Law Journal</w:t>
      </w:r>
      <w:r>
        <w:t xml:space="preserve">, (4), 312-325.</w:t>
      </w:r>
    </w:p>
    <w:p>
      <w:pPr>
        <w:numPr>
          <w:ilvl w:val="0"/>
          <w:numId w:val="1002"/>
        </w:numPr>
        <w:pStyle w:val="Compact"/>
      </w:pPr>
      <w:r>
        <w:t xml:space="preserve">New Zealand Ministry of Justice. (2023).</w:t>
      </w:r>
      <w:r>
        <w:t xml:space="preserve"> </w:t>
      </w:r>
      <w:r>
        <w:rPr>
          <w:iCs/>
          <w:i/>
        </w:rPr>
        <w:t xml:space="preserve">Annual Report on Court Statistics: Auckland District and High Court</w:t>
      </w:r>
      <w:r>
        <w:t xml:space="preserve">.</w:t>
      </w:r>
    </w:p>
    <w:bookmarkEnd w:id="36"/>
    <w:bookmarkEnd w:id="37"/>
    <w:p>
      <w:pPr>
        <w:pStyle w:val="FirstParagraph"/>
      </w:pPr>
      <w:r>
        <w:t xml:space="preserve">© 2024 Academic Poster Presentation Series - University of Auckland Legal Studies Group. All Rights Reserved.</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Evolution of the Judge in New Zealand Auckland</dc:title>
  <dc:creator/>
  <dc:language>en</dc:language>
  <cp:keywords/>
  <dcterms:created xsi:type="dcterms:W3CDTF">2026-07-29T19:39:28Z</dcterms:created>
  <dcterms:modified xsi:type="dcterms:W3CDTF">2026-07-29T19:39:28Z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