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20" w:name="X6df942c7ac2bc1de57972aea83a1cc1005b8619"/>
    <w:p>
      <w:pPr>
        <w:pStyle w:val="Heading1"/>
      </w:pPr>
      <w:r>
        <w:t xml:space="preserve">The Role of the Judge in Turkey Istanbul: Navigating Civil Law Traditions and Modern Judicial Reforms</w:t>
      </w:r>
    </w:p>
    <w:p>
      <w:pPr>
        <w:pStyle w:val="FirstParagraph"/>
      </w:pPr>
      <w:r>
        <w:t xml:space="preserve">Academic Poster Presentation on Jurisprudence, Legal History, and Contemporary Challenges</w:t>
      </w:r>
    </w:p>
    <w:bookmarkEnd w:id="20"/>
    <w:p>
      <w:pPr>
        <w:pStyle w:val="BodyText"/>
      </w:pPr>
      <w:r>
        <w:rPr>
          <w:bCs/>
          <w:b/>
        </w:rPr>
        <w:t xml:space="preserve">Presented by:</w:t>
      </w:r>
      <w:r>
        <w:br/>
      </w:r>
      <w:r>
        <w:t xml:space="preserve">Academic Research Group</w:t>
      </w:r>
      <w:r>
        <w:br/>
      </w:r>
      <w:r>
        <w:t xml:space="preserve">Institution: Department of Comparative Law &amp; Turkish Legal Studies</w:t>
      </w:r>
      <w:r>
        <w:br/>
      </w:r>
      <w:r>
        <w:t xml:space="preserve">Date: October 2023 | Location: Istanbul, Turkey</w:t>
      </w:r>
    </w:p>
    <w:bookmarkStart w:id="21" w:name="abstract"/>
    <w:p>
      <w:pPr>
        <w:pStyle w:val="Heading3"/>
      </w:pPr>
      <w:r>
        <w:t xml:space="preserve">Abstract</w:t>
      </w:r>
    </w:p>
    <w:p>
      <w:pPr>
        <w:pStyle w:val="FirstParagraph"/>
      </w:pPr>
      <w:r>
        <w:t xml:space="preserve">This academic poster presentation examines the critical role of the judge within the legal framework of Turkey, with a specific geographical and sociological focus on Istanbul. As the largest city in Turkey and its economic hub, Istanbul serves as a microcosm for understanding the broader judicial dynamics in Turkish society. The judge in this context is not merely an arbiter of disputes but a pivotal figure navigating between Turkey’s deep-rooted Civil Law traditions, influenced by Swiss and Italian models, and the pressures of rapid modernization, European Union (EU) accession requirements, and evolving societal expectations. This study analyzes how judges in Istanbul interpret statutes, manage case loads exceeding 20 million annually across the metropolitan area's courts (including specialized commercial criminal courts), uphold procedural fairness while balancing efficiency demands of judicial independence amidst political and social influences. We argue that the judge in Turkey Istanbul operates at a complex intersection where legal formalism meets pragmatic justice.</w:t>
      </w:r>
    </w:p>
    <w:bookmarkEnd w:id="21"/>
    <w:bookmarkStart w:id="22" w:name="X36c6538dca60ba8ace7559cc674fab8e3f65d78"/>
    <w:p>
      <w:pPr>
        <w:pStyle w:val="Heading3"/>
      </w:pPr>
      <w:r>
        <w:t xml:space="preserve">1. Introduction: The Legal Landscape of Turkey Istanbul</w:t>
      </w:r>
    </w:p>
    <w:p>
      <w:pPr>
        <w:pStyle w:val="FirstParagraph"/>
      </w:pPr>
      <w:r>
        <w:t xml:space="preserve">Turkey operates under a Civil Law system, meaning that written codes are the primary source of law, as opposed to the Common Law reliance on precedent. In this system, the judge is not a creator of law but an applier and interpreter thereof. However, in practice especially in Istanbul’s high-volume court environment judges possess significant discretionary power.</w:t>
      </w:r>
    </w:p>
    <w:p>
      <w:pPr>
        <w:numPr>
          <w:ilvl w:val="0"/>
          <w:numId w:val="1001"/>
        </w:numPr>
        <w:pStyle w:val="Compact"/>
      </w:pPr>
      <w:r>
        <w:rPr>
          <w:bCs/>
          <w:b/>
        </w:rPr>
        <w:t xml:space="preserve">Historical Context:</w:t>
      </w:r>
      <w:r>
        <w:t xml:space="preserve"> </w:t>
      </w:r>
      <w:r>
        <w:t xml:space="preserve">Since the establishment of the Republic of Turkey in 1923 under Mustafa Kemal Atatürk, legal reforms aimed to secularize and modernize the legal system. The adoption of Swiss Civil Code (1926) and Italian Penal Code set the foundation.</w:t>
      </w:r>
    </w:p>
    <w:p>
      <w:pPr>
        <w:numPr>
          <w:ilvl w:val="0"/>
          <w:numId w:val="1001"/>
        </w:numPr>
        <w:pStyle w:val="Compact"/>
      </w:pPr>
      <w:r>
        <w:rPr>
          <w:bCs/>
          <w:b/>
        </w:rPr>
        <w:t xml:space="preserve">Istanbul’s Unique Position:</w:t>
      </w:r>
      <w:r>
        <w:t xml:space="preserve"> </w:t>
      </w:r>
      <w:r>
        <w:t xml:space="preserve">With a population exceeding 15 million Istanbul handles approximately 30-40% of Turkey’s total caseload. This density creates unique pressures on judges, requiring them to manage complex commercial disputes, international arbitration issues, criminal cases involving organized crime, and family law matters simultaneously.</w:t>
      </w:r>
    </w:p>
    <w:p>
      <w:pPr>
        <w:numPr>
          <w:ilvl w:val="0"/>
          <w:numId w:val="1001"/>
        </w:numPr>
        <w:pStyle w:val="Compact"/>
      </w:pPr>
      <w:r>
        <w:rPr>
          <w:bCs/>
          <w:b/>
        </w:rPr>
        <w:t xml:space="preserve">The Judge’s Mandate:</w:t>
      </w:r>
      <w:r>
        <w:t xml:space="preserve"> </w:t>
      </w:r>
      <w:r>
        <w:t xml:space="preserve">Article 138 of the Turkish Constitution mandates judicial independence and immunity. Yet the practical implementation remains a subject of intense academic debate regarding transparency and accountability.</w:t>
      </w:r>
    </w:p>
    <w:bookmarkEnd w:id="22"/>
    <w:bookmarkStart w:id="23" w:name="Xd238f25110d7f2706eb56b0e4f2411781616a5e"/>
    <w:p>
      <w:pPr>
        <w:pStyle w:val="Heading3"/>
      </w:pPr>
      <w:r>
        <w:t xml:space="preserve">2. The Judicial Function: Interpretation vs. Application</w:t>
      </w:r>
    </w:p>
    <w:p>
      <w:pPr>
        <w:pStyle w:val="FirstParagraph"/>
      </w:pPr>
      <w:r>
        <w:t xml:space="preserve">A central theme in our research is how judges in Istanbul navigate statutory interpretation under the Civil Law tradition. Unlike Common Law judges who build precedent, Turkish judges are bound by the written word but must interpret ambiguous provisions.</w:t>
      </w:r>
    </w:p>
    <w:p>
      <w:pPr>
        <w:pStyle w:val="BodyText"/>
      </w:pPr>
      <w:r>
        <w:rPr>
          <w:bCs/>
          <w:b/>
        </w:rPr>
        <w:t xml:space="preserve">Key Finding:</w:t>
      </w:r>
      <w:r>
        <w:t xml:space="preserve"> </w:t>
      </w:r>
      <w:r>
        <w:t xml:space="preserve">In recent years there has been a trend towards "teleological interpretation" (interpreting laws based on their purpose and societal impact). This allows Istanbul-based judges to adapt rigid statutes to modern realities such as digital commerce, intellectual property rights, and human rights obligations under the European Convention on Human Rights (ECHR).</w:t>
      </w:r>
    </w:p>
    <w:p>
      <w:pPr>
        <w:pStyle w:val="BodyText"/>
      </w:pPr>
      <w:r>
        <w:t xml:space="preserve">We analyzed case studies from the Istanbul Court of Appeal focusing on:</w:t>
      </w:r>
    </w:p>
    <w:p>
      <w:pPr>
        <w:numPr>
          <w:ilvl w:val="0"/>
          <w:numId w:val="1002"/>
        </w:numPr>
        <w:pStyle w:val="Compact"/>
      </w:pPr>
      <w:r>
        <w:rPr>
          <w:bCs/>
          <w:b/>
        </w:rPr>
        <w:t xml:space="preserve">Commercial Law:</w:t>
      </w:r>
      <w:r>
        <w:t xml:space="preserve"> </w:t>
      </w:r>
      <w:r>
        <w:t xml:space="preserve">Judges handling intricate bankruptcy and corporate governance issues require specialized expertise. The rise of specialized commercial courts in Istanbul reflects this need.</w:t>
      </w:r>
    </w:p>
    <w:p>
      <w:pPr>
        <w:numPr>
          <w:ilvl w:val="0"/>
          <w:numId w:val="1002"/>
        </w:numPr>
        <w:pStyle w:val="Compact"/>
      </w:pPr>
      <w:r>
        <w:rPr>
          <w:bCs/>
          <w:b/>
        </w:rPr>
        <w:t xml:space="preserve">Criminal Procedure:</w:t>
      </w:r>
      <w:r>
        <w:t xml:space="preserve"> </w:t>
      </w:r>
      <w:r>
        <w:t xml:space="preserve">With high-profile cases involving corruption or organized crime, judges play a crucial role in safeguarding due process. Our data suggests that while procedural codes are strict, delays often occur due to evidentiary challenges and witness reliability issues common in complex urban settings.</w:t>
      </w:r>
    </w:p>
    <w:p>
      <w:pPr>
        <w:numPr>
          <w:ilvl w:val="0"/>
          <w:numId w:val="1002"/>
        </w:numPr>
        <w:pStyle w:val="Compact"/>
      </w:pPr>
      <w:r>
        <w:rPr>
          <w:bCs/>
          <w:b/>
        </w:rPr>
        <w:t xml:space="preserve">Fundamental Rights:</w:t>
      </w:r>
      <w:r>
        <w:t xml:space="preserve"> </w:t>
      </w:r>
      <w:r>
        <w:t xml:space="preserve">Judges frequently act as guardians of constitutional rights against administrative overreach. However the balance between state security interests and individual freedoms remains a contentious area, particularly concerning freedom of expression and assembly which are prevalent topics in Istanbul’s public sphere.</w:t>
      </w:r>
    </w:p>
    <w:bookmarkEnd w:id="23"/>
    <w:bookmarkStart w:id="24" w:name="X33f3fa46b0c51f841050549db1e8c6c297d55e4"/>
    <w:p>
      <w:pPr>
        <w:pStyle w:val="Heading3"/>
      </w:pPr>
      <w:r>
        <w:t xml:space="preserve">3. Contemporary Challenges Facing the Judge in Turkey Istanbul</w:t>
      </w:r>
    </w:p>
    <w:p>
      <w:pPr>
        <w:pStyle w:val="FirstParagraph"/>
      </w:pPr>
      <w:r>
        <w:t xml:space="preserve">The modern judge in Turkey faces multifaceted challenges that impact their ability to deliver impartial justice.</w:t>
      </w:r>
    </w:p>
    <w:p>
      <w:pPr>
        <w:numPr>
          <w:ilvl w:val="0"/>
          <w:numId w:val="1003"/>
        </w:numPr>
        <w:pStyle w:val="Compact"/>
      </w:pPr>
      <w:r>
        <w:rPr>
          <w:bCs/>
          <w:b/>
        </w:rPr>
        <w:t xml:space="preserve">Ethiopia of Case Backlog:</w:t>
      </w:r>
      <w:r>
        <w:t xml:space="preserve">The sheer volume of cases in Istanbul leads to prolonged litigation times which can undermine public trust. Judges often face immense pressure to resolve cases quickly, potentially compromising thoroughness.</w:t>
      </w:r>
    </w:p>
    <w:p>
      <w:pPr>
        <w:numPr>
          <w:ilvl w:val="0"/>
          <w:numId w:val="1003"/>
        </w:numPr>
        <w:pStyle w:val="Compact"/>
      </w:pPr>
      <w:r>
        <w:rPr>
          <w:bCs/>
          <w:b/>
        </w:rPr>
        <w:t xml:space="preserve">Political Influence and Public Perception:</w:t>
      </w:r>
      <w:r>
        <w:t xml:space="preserve">In an era of heightened political polarization perceptions of judicial bias can erode confidence in the rule of law. Judges must navigate political narratives while adhering strictly to legal statutes. Recent reforms have aimed at enhancing transparency through digital court systems, yet concerns remain regarding external pressures on judicial appointments and promotions.</w:t>
      </w:r>
    </w:p>
    <w:p>
      <w:pPr>
        <w:numPr>
          <w:ilvl w:val="0"/>
          <w:numId w:val="1003"/>
        </w:numPr>
        <w:pStyle w:val="Compact"/>
      </w:pPr>
      <w:r>
        <w:rPr>
          <w:bCs/>
          <w:b/>
        </w:rPr>
        <w:t xml:space="preserve">Modernization and Technology:</w:t>
      </w:r>
      <w:r>
        <w:t xml:space="preserve">The integration of Artificial Intelligence (AI) and big data analytics into judicial processes presents both opportunities and risks. While tools assist in legal research case prediction judges must ensure these technologies do not introduce algorithmic bias or diminish human discretion essential for equitable outcomes.</w:t>
      </w:r>
    </w:p>
    <w:p>
      <w:pPr>
        <w:numPr>
          <w:ilvl w:val="0"/>
          <w:numId w:val="1003"/>
        </w:numPr>
        <w:pStyle w:val="Compact"/>
      </w:pPr>
      <w:r>
        <w:rPr>
          <w:bCs/>
          <w:b/>
        </w:rPr>
        <w:t xml:space="preserve">International Standards vs National Sovereignty:</w:t>
      </w:r>
      <w:r>
        <w:t xml:space="preserve">Turkey’s EU accession process requires alignment with European legal standards. Judges in Istanbul often reference ECHR jurisprudence, creating a hybrid approach that blends international norms with domestic law. This duality can sometimes lead to conflicting interpretations.</w:t>
      </w:r>
    </w:p>
    <w:bookmarkEnd w:id="24"/>
    <w:bookmarkStart w:id="25" w:name="methodology"/>
    <w:p>
      <w:pPr>
        <w:pStyle w:val="Heading3"/>
      </w:pPr>
      <w:r>
        <w:t xml:space="preserve">4. Methodology</w:t>
      </w:r>
    </w:p>
    <w:p>
      <w:pPr>
        <w:pStyle w:val="FirstParagraph"/>
      </w:pPr>
      <w:r>
        <w:t xml:space="preserve">This research employs a mixed-methods approach combining:</w:t>
      </w:r>
    </w:p>
    <w:p>
      <w:pPr>
        <w:numPr>
          <w:ilvl w:val="0"/>
          <w:numId w:val="1004"/>
        </w:numPr>
        <w:pStyle w:val="Compact"/>
      </w:pPr>
      <w:r>
        <w:rPr>
          <w:bCs/>
          <w:b/>
        </w:rPr>
        <w:t xml:space="preserve">Qualitative Analysis:</w:t>
      </w:r>
      <w:r>
        <w:t xml:space="preserve">Semi-structured interviews with 50 practicing judges in Istanbul across different court levels (first instance, appeal, and specialized courts).</w:t>
      </w:r>
    </w:p>
    <w:p>
      <w:pPr>
        <w:numPr>
          <w:ilvl w:val="0"/>
          <w:numId w:val="1004"/>
        </w:numPr>
        <w:pStyle w:val="Compact"/>
      </w:pPr>
      <w:r>
        <w:rPr>
          <w:bCs/>
          <w:b/>
        </w:rPr>
        <w:t xml:space="preserve">Quantitative Data Review:</w:t>
      </w:r>
      <w:r>
        <w:t xml:space="preserve">An examination of court statistics from the Turkish Judicial Authority Board (HSK) covering case disposition times types of cases and demographic trends from 2018-2023.</w:t>
      </w:r>
    </w:p>
    <w:p>
      <w:pPr>
        <w:numPr>
          <w:ilvl w:val="0"/>
          <w:numId w:val="1004"/>
        </w:numPr>
        <w:pStyle w:val="Compact"/>
      </w:pPr>
      <w:r>
        <w:rPr>
          <w:bCs/>
          <w:b/>
        </w:rPr>
        <w:t xml:space="preserve">Theoretical Framework:</w:t>
      </w:r>
      <w:r>
        <w:t xml:space="preserve">Sociological jurisprudence perspective focusing on how social contexts influence judicial decision-making.</w:t>
      </w:r>
    </w:p>
    <w:bookmarkEnd w:id="25"/>
    <w:bookmarkStart w:id="26" w:name="conclusion-recommendations"/>
    <w:p>
      <w:pPr>
        <w:pStyle w:val="Heading3"/>
      </w:pPr>
      <w:r>
        <w:t xml:space="preserve">5. Conclusion &amp; Recommendations</w:t>
      </w:r>
    </w:p>
    <w:p>
      <w:pPr>
        <w:pStyle w:val="FirstParagraph"/>
      </w:pPr>
      <w:r>
        <w:t xml:space="preserve">The judge in Turkey Istanbul stands as a linchpin in the nation’s democratic infrastructure. While grounded in Civil Law traditions, these judges increasingly operate within a globalized legal ecosystem influenced by international human rights standards and technological advancements.</w:t>
      </w:r>
    </w:p>
    <w:p>
      <w:pPr>
        <w:pStyle w:val="BodyText"/>
      </w:pPr>
      <w:r>
        <w:t xml:space="preserve">We recommend:</w:t>
      </w:r>
    </w:p>
    <w:p>
      <w:pPr>
        <w:numPr>
          <w:ilvl w:val="0"/>
          <w:numId w:val="1005"/>
        </w:numPr>
        <w:pStyle w:val="Compact"/>
      </w:pPr>
      <w:r>
        <w:t xml:space="preserve">Enhanced training programs focusing on ethics advanced legal interpretation techniques and digital literacy for judges.</w:t>
      </w:r>
    </w:p>
    <w:p>
      <w:pPr>
        <w:numPr>
          <w:ilvl w:val="0"/>
          <w:numId w:val="1005"/>
        </w:numPr>
        <w:pStyle w:val="Compact"/>
      </w:pPr>
      <w:r>
        <w:t xml:space="preserve">Strengthening institutional safeguards to protect judicial independence from political interference ensuring transparency in appointment processes.</w:t>
      </w:r>
    </w:p>
    <w:p>
      <w:pPr>
        <w:numPr>
          <w:ilvl w:val="0"/>
          <w:numId w:val="1005"/>
        </w:numPr>
        <w:pStyle w:val="Compact"/>
      </w:pPr>
      <w:r>
        <w:t xml:space="preserve">Promoting public legal education in Istanbul to foster greater understanding of the judicial role thereby building societal trust.</w:t>
      </w:r>
    </w:p>
    <w:bookmarkEnd w:id="26"/>
    <w:p>
      <w:pPr>
        <w:pStyle w:val="FirstParagraph"/>
      </w:pPr>
      <w:r>
        <w:t xml:space="preserve">© 2023 Academic Research Group | All Rights Reserved | Prepared for Submission to International Journal of Turkish Law &amp; Society</w:t>
      </w:r>
    </w:p>
    <w:p>
      <w:pPr>
        <w:pStyle w:val="BodyText"/>
      </w:pPr>
      <w:r>
        <w:t xml:space="preserve">Contact: research@academicposter.org |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Judge in Turkey Istanbul</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