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Belgium</w:t>
      </w:r>
      <w:r>
        <w:t xml:space="preserve"> </w:t>
      </w:r>
      <w:r>
        <w:t xml:space="preserve">Brussels</w:t>
      </w:r>
    </w:p>
    <w:bookmarkStart w:id="20" w:name="Xe43446a43000aabbd28c81db54d2772997b8349"/>
    <w:p>
      <w:pPr>
        <w:pStyle w:val="Heading1"/>
      </w:pPr>
      <w:r>
        <w:t xml:space="preserve">The Strategic Role of the Laboratory Technician in Belgium Brussels</w:t>
      </w:r>
    </w:p>
    <w:p>
      <w:pPr>
        <w:pStyle w:val="FirstParagraph"/>
      </w:pPr>
      <w:r>
        <w:rPr>
          <w:bCs/>
          <w:b/>
        </w:rPr>
        <w:t xml:space="preserve">Focus:</w:t>
      </w:r>
      <w:r>
        <w:t xml:space="preserve"> </w:t>
      </w:r>
      <w:r>
        <w:t xml:space="preserve">Enhancing Public Health, Pharmaceutical Innovation, and Regulatory Compliance</w:t>
      </w:r>
    </w:p>
    <w:p>
      <w:pPr>
        <w:pStyle w:val="BodyText"/>
      </w:pPr>
      <w:r>
        <w:rPr>
          <w:iCs/>
          <w:i/>
        </w:rPr>
        <w:t xml:space="preserve">A Poster Presentation for Academic Review</w:t>
      </w:r>
    </w:p>
    <w:bookmarkEnd w:id="20"/>
    <w:bookmarkStart w:id="21" w:name="abstract"/>
    <w:p>
      <w:pPr>
        <w:pStyle w:val="Heading2"/>
      </w:pPr>
      <w:r>
        <w:t xml:space="preserve">Abstract</w:t>
      </w:r>
    </w:p>
    <w:p>
      <w:pPr>
        <w:pStyle w:val="FirstParagraph"/>
      </w:pPr>
      <w:r>
        <w:t xml:space="preserve">This poster presentation explores the critical function of the</w:t>
      </w:r>
      <w:r>
        <w:t xml:space="preserve"> </w:t>
      </w:r>
      <w:r>
        <w:t xml:space="preserve">Laboratory Technician</w:t>
      </w:r>
      <w:r>
        <w:t xml:space="preserve"> </w:t>
      </w:r>
      <w:r>
        <w:t xml:space="preserve">within the unique and highly regulated healthcare environment of</w:t>
      </w:r>
      <w:r>
        <w:t xml:space="preserve"> </w:t>
      </w:r>
      <w:r>
        <w:t xml:space="preserve">Belgium Brussels</w:t>
      </w:r>
      <w:r>
        <w:t xml:space="preserve">. As the capital of the European Union,</w:t>
      </w:r>
      <w:r>
        <w:t xml:space="preserve"> </w:t>
      </w:r>
      <w:r>
        <w:rPr>
          <w:bCs/>
          <w:b/>
        </w:rPr>
        <w:t xml:space="preserve">Belgium Brussels</w:t>
      </w:r>
      <w:r>
        <w:t xml:space="preserve"> </w:t>
      </w:r>
      <w:r>
        <w:t xml:space="preserve">hosts a dense concentration of pharmaceutical companies, regulatory agencies (such as FAMHP), and international health organizations. The role of the</w:t>
      </w:r>
      <w:r>
        <w:t xml:space="preserve"> </w:t>
      </w:r>
      <w:r>
        <w:t xml:space="preserve">Laboratory Technician</w:t>
      </w:r>
      <w:r>
        <w:t xml:space="preserve"> </w:t>
      </w:r>
      <w:r>
        <w:t xml:space="preserve">has evolved from routine sample processing to becoming a pivotal component in quality assurance, diagnostic accuracy, and research integrity. This document outlines the educational requirements, specific technical competencies, and the regulatory framework governing laboratory professionals in this region.</w:t>
      </w:r>
    </w:p>
    <w:bookmarkEnd w:id="21"/>
    <w:bookmarkStart w:id="22" w:name="introduction"/>
    <w:p>
      <w:pPr>
        <w:pStyle w:val="Heading2"/>
      </w:pPr>
      <w:r>
        <w:t xml:space="preserve">Introduction</w:t>
      </w:r>
    </w:p>
    <w:p>
      <w:pPr>
        <w:pStyle w:val="FirstParagraph"/>
      </w:pPr>
      <w:r>
        <w:t xml:space="preserve">The healthcare infrastructure in</w:t>
      </w:r>
      <w:r>
        <w:t xml:space="preserve"> </w:t>
      </w:r>
      <w:r>
        <w:rPr>
          <w:bCs/>
          <w:b/>
        </w:rPr>
        <w:t xml:space="preserve">Belgium Brussels</w:t>
      </w:r>
      <w:r>
        <w:t xml:space="preserve"> </w:t>
      </w:r>
      <w:r>
        <w:t xml:space="preserve">is characterized by its bilingual nature (French and Dutch) and strict adherence to both national Belgian laws and European Union directives. Within this ecosystem, the</w:t>
      </w:r>
      <w:r>
        <w:t xml:space="preserve"> </w:t>
      </w:r>
      <w:r>
        <w:t xml:space="preserve">Laboratory Technician</w:t>
      </w:r>
      <w:r>
        <w:t xml:space="preserve"> </w:t>
      </w:r>
      <w:r>
        <w:t xml:space="preserve">serves as the backbone of clinical diagnostics. Whether working in hospital labs, private reference laboratories like those associated with UZ Brussels or St-Luc Hospital, or in the R&amp;D divisions of major pharma hubs along the Brussels ring road, these professionals ensure that data integrity is maintained from sample collection to result delivery.</w:t>
      </w:r>
    </w:p>
    <w:p>
      <w:pPr>
        <w:pStyle w:val="BodyText"/>
      </w:pPr>
      <w:r>
        <w:t xml:space="preserve">The complexity of the</w:t>
      </w:r>
      <w:r>
        <w:t xml:space="preserve"> </w:t>
      </w:r>
      <w:r>
        <w:t xml:space="preserve">Laboratory Technician</w:t>
      </w:r>
      <w:r>
        <w:t xml:space="preserve">'s role in</w:t>
      </w:r>
      <w:r>
        <w:t xml:space="preserve"> </w:t>
      </w:r>
      <w:r>
        <w:rPr>
          <w:bCs/>
          <w:b/>
        </w:rPr>
        <w:t xml:space="preserve">Belgium Brussels</w:t>
      </w:r>
      <w:r>
        <w:t xml:space="preserve"> </w:t>
      </w:r>
      <w:r>
        <w:t xml:space="preserve">is amplified by the presence of multinational organizations. The technician must navigate not only biological and chemical complexities but also linguistic and cultural nuances, ensuring that test results are communicated accurately across diverse patient populations.</w:t>
      </w:r>
    </w:p>
    <w:bookmarkEnd w:id="22"/>
    <w:bookmarkStart w:id="23" w:name="educational-pathways-and-certification"/>
    <w:p>
      <w:pPr>
        <w:pStyle w:val="Heading2"/>
      </w:pPr>
      <w:r>
        <w:t xml:space="preserve">Educational Pathways and Certification</w:t>
      </w:r>
    </w:p>
    <w:p>
      <w:pPr>
        <w:pStyle w:val="FirstParagraph"/>
      </w:pPr>
      <w:r>
        <w:t xml:space="preserve">To become a qualified</w:t>
      </w:r>
      <w:r>
        <w:t xml:space="preserve"> </w:t>
      </w:r>
      <w:r>
        <w:t xml:space="preserve">Laboratory Technician</w:t>
      </w:r>
      <w:r>
        <w:t xml:space="preserve"> </w:t>
      </w:r>
      <w:r>
        <w:t xml:space="preserve">in</w:t>
      </w:r>
      <w:r>
        <w:t xml:space="preserve"> </w:t>
      </w:r>
      <w:r>
        <w:rPr>
          <w:bCs/>
          <w:b/>
        </w:rPr>
        <w:t xml:space="preserve">Belgium Brussels</w:t>
      </w:r>
      <w:r>
        <w:t xml:space="preserve">, candidates typically follow a rigorous academic path. This includes:</w:t>
      </w:r>
    </w:p>
    <w:p>
      <w:pPr>
        <w:numPr>
          <w:ilvl w:val="0"/>
          <w:numId w:val="1001"/>
        </w:numPr>
        <w:pStyle w:val="Compact"/>
      </w:pPr>
      <w:r>
        <w:rPr>
          <w:bCs/>
          <w:b/>
        </w:rPr>
        <w:t xml:space="preserve">Bachelor’s Degree:</w:t>
      </w:r>
    </w:p>
    <w:p>
      <w:pPr>
        <w:numPr>
          <w:ilvl w:val="0"/>
          <w:numId w:val="1001"/>
        </w:numPr>
        <w:pStyle w:val="Compact"/>
      </w:pPr>
      <w:r>
        <w:rPr>
          <w:bCs/>
          <w:b/>
        </w:rPr>
        <w:t xml:space="preserve">Specialized Master’s:</w:t>
      </w:r>
      <w:r>
        <w:t xml:space="preserve"> </w:t>
      </w:r>
      <w:r>
        <w:t xml:space="preserve">Many technicians pursue further specialization in microbiology, toxicology, or immunohematology.</w:t>
      </w:r>
    </w:p>
    <w:p>
      <w:pPr>
        <w:numPr>
          <w:ilvl w:val="0"/>
          <w:numId w:val="1001"/>
        </w:numPr>
        <w:pStyle w:val="Compact"/>
      </w:pPr>
      <w:r>
        <w:rPr>
          <w:bCs/>
          <w:b/>
        </w:rPr>
        <w:t xml:space="preserve">Licensure:</w:t>
      </w:r>
      <w:r>
        <w:t xml:space="preserve"> </w:t>
      </w:r>
      <w:r>
        <w:t xml:space="preserve">Registration with the regional health authorities in Brussels-Capital Region is mandatory to practice legally.</w:t>
      </w:r>
    </w:p>
    <w:p>
      <w:pPr>
        <w:pStyle w:val="FirstParagraph"/>
      </w:pPr>
      <w:r>
        <w:t xml:space="preserve">Continuous professional development (CPD) is also a key aspect of maintaining status as a</w:t>
      </w:r>
      <w:r>
        <w:t xml:space="preserve"> </w:t>
      </w:r>
      <w:r>
        <w:t xml:space="preserve">Laboratory Technician</w:t>
      </w:r>
      <w:r>
        <w:t xml:space="preserve">, ensuring that staff in</w:t>
      </w:r>
      <w:r>
        <w:t xml:space="preserve"> </w:t>
      </w:r>
      <w:r>
        <w:rPr>
          <w:bCs/>
          <w:b/>
        </w:rPr>
        <w:t xml:space="preserve">Belgium Brussels</w:t>
      </w:r>
      <w:r>
        <w:t xml:space="preserve"> </w:t>
      </w:r>
      <w:r>
        <w:t xml:space="preserve">remain updated on the latest diagnostic technologies and safety protocols.</w:t>
      </w:r>
    </w:p>
    <w:bookmarkEnd w:id="23"/>
    <w:bookmarkStart w:id="26" w:name="core-competencies-and-technical-skills"/>
    <w:p>
      <w:pPr>
        <w:pStyle w:val="Heading2"/>
      </w:pPr>
      <w:r>
        <w:t xml:space="preserve">Core Competencies and Technical Skills</w:t>
      </w:r>
    </w:p>
    <w:p>
      <w:pPr>
        <w:pStyle w:val="FirstParagraph"/>
      </w:pPr>
      <w:r>
        <w:t xml:space="preserve">The modern</w:t>
      </w:r>
      <w:r>
        <w:t xml:space="preserve"> </w:t>
      </w:r>
      <w:r>
        <w:t xml:space="preserve">Laboratory Technician</w:t>
      </w:r>
      <w:r>
        <w:t xml:space="preserve"> </w:t>
      </w:r>
      <w:r>
        <w:t xml:space="preserve">in</w:t>
      </w:r>
      <w:r>
        <w:t xml:space="preserve"> </w:t>
      </w:r>
      <w:r>
        <w:rPr>
          <w:bCs/>
          <w:b/>
        </w:rPr>
        <w:t xml:space="preserve">Belgium Brussels</w:t>
      </w:r>
      <w:r>
        <w:t xml:space="preserve"> </w:t>
      </w:r>
      <w:r>
        <w:t xml:space="preserve">must possess a diverse skill set that bridges traditional wet-lab techniques with advanced digital analytics.</w:t>
      </w:r>
    </w:p>
    <w:bookmarkStart w:id="24" w:name="technical-proficiency"/>
    <w:p>
      <w:pPr>
        <w:pStyle w:val="Heading3"/>
      </w:pPr>
      <w:r>
        <w:t xml:space="preserve">Technical Proficiency</w:t>
      </w:r>
    </w:p>
    <w:p>
      <w:pPr>
        <w:numPr>
          <w:ilvl w:val="0"/>
          <w:numId w:val="1002"/>
        </w:numPr>
        <w:pStyle w:val="Compact"/>
      </w:pPr>
      <w:r>
        <w:rPr>
          <w:bCs/>
          <w:b/>
        </w:rPr>
        <w:t xml:space="preserve">Molecular Diagnostics:</w:t>
      </w:r>
      <w:r>
        <w:t xml:space="preserve"> </w:t>
      </w:r>
      <w:r>
        <w:t xml:space="preserve">PCR analysis, genetic sequencing.</w:t>
      </w:r>
    </w:p>
    <w:p>
      <w:pPr>
        <w:numPr>
          <w:ilvl w:val="0"/>
          <w:numId w:val="1002"/>
        </w:numPr>
        <w:pStyle w:val="Compact"/>
      </w:pPr>
      <w:r>
        <w:rPr>
          <w:bCs/>
          <w:b/>
        </w:rPr>
        <w:t xml:space="preserve">Hematology:</w:t>
      </w:r>
      <w:r>
        <w:t xml:space="preserve"> </w:t>
      </w:r>
      <w:r>
        <w:t xml:space="preserve">Automated cell counting and differential analysis.</w:t>
      </w:r>
    </w:p>
    <w:p>
      <w:pPr>
        <w:numPr>
          <w:ilvl w:val="0"/>
          <w:numId w:val="1002"/>
        </w:numPr>
        <w:pStyle w:val="Compact"/>
      </w:pPr>
      <w:r>
        <w:rPr>
          <w:bCs/>
          <w:b/>
        </w:rPr>
        <w:t xml:space="preserve">Biochemistry:</w:t>
      </w:r>
      <w:r>
        <w:t xml:space="preserve"> </w:t>
      </w:r>
      <w:r>
        <w:t xml:space="preserve">Enzyme assays and metabolic profile interpretation.</w:t>
      </w:r>
    </w:p>
    <w:bookmarkEnd w:id="24"/>
    <w:bookmarkStart w:id="25" w:name="regulatory-compliance"/>
    <w:p>
      <w:pPr>
        <w:pStyle w:val="Heading3"/>
      </w:pPr>
      <w:r>
        <w:t xml:space="preserve">Regulatory Compliance</w:t>
      </w:r>
    </w:p>
    <w:p>
      <w:pPr>
        <w:numPr>
          <w:ilvl w:val="0"/>
          <w:numId w:val="1003"/>
        </w:numPr>
        <w:pStyle w:val="Compact"/>
      </w:pPr>
      <w:r>
        <w:rPr>
          <w:bCs/>
          <w:b/>
        </w:rPr>
        <w:t xml:space="preserve">GMP/GDP:</w:t>
      </w:r>
      <w:r>
        <w:t xml:space="preserve"> </w:t>
      </w:r>
      <w:r>
        <w:t xml:space="preserve">Good Manufacturing and Distribution Practices for pharma labs in Brussels.</w:t>
      </w:r>
    </w:p>
    <w:p>
      <w:pPr>
        <w:numPr>
          <w:ilvl w:val="0"/>
          <w:numId w:val="1003"/>
        </w:numPr>
        <w:pStyle w:val="Compact"/>
      </w:pPr>
      <w:r>
        <w:rPr>
          <w:bCs/>
          <w:b/>
        </w:rPr>
        <w:t xml:space="preserve">ISO 15189:</w:t>
      </w:r>
      <w:r>
        <w:t xml:space="preserve"> </w:t>
      </w:r>
      <w:r>
        <w:t xml:space="preserve">Standardization of medical laboratories.</w:t>
      </w:r>
    </w:p>
    <w:p>
      <w:pPr>
        <w:numPr>
          <w:ilvl w:val="0"/>
          <w:numId w:val="1003"/>
        </w:numPr>
        <w:pStyle w:val="Compact"/>
      </w:pPr>
      <w:r>
        <w:rPr>
          <w:bCs/>
          <w:b/>
        </w:rPr>
        <w:t xml:space="preserve">Data Integrity:</w:t>
      </w:r>
      <w:r>
        <w:t xml:space="preserve"> </w:t>
      </w:r>
      <w:r>
        <w:t xml:space="preserve">Ensuring electronic health record (EHR) accuracy.</w:t>
      </w:r>
    </w:p>
    <w:bookmarkEnd w:id="25"/>
    <w:p>
      <w:pPr>
        <w:pStyle w:val="FirstParagraph"/>
      </w:pPr>
      <w:r>
        <w:t xml:space="preserve">Furthermore, language proficiency in both French and English is often required for a</w:t>
      </w:r>
      <w:r>
        <w:t xml:space="preserve"> </w:t>
      </w:r>
      <w:r>
        <w:t xml:space="preserve">Laboratory Technician</w:t>
      </w:r>
      <w:r>
        <w:t xml:space="preserve"> </w:t>
      </w:r>
      <w:r>
        <w:t xml:space="preserve">operating in the international sphere of</w:t>
      </w:r>
      <w:r>
        <w:t xml:space="preserve"> </w:t>
      </w:r>
      <w:r>
        <w:rPr>
          <w:bCs/>
          <w:b/>
        </w:rPr>
        <w:t xml:space="preserve">Belgium Brussels</w:t>
      </w:r>
      <w:r>
        <w:t xml:space="preserve">, facilitating collaboration with global research partners.</w:t>
      </w:r>
    </w:p>
    <w:bookmarkEnd w:id="26"/>
    <w:bookmarkStart w:id="27" w:name="challenges-and-future-outlook"/>
    <w:p>
      <w:pPr>
        <w:pStyle w:val="Heading2"/>
      </w:pPr>
      <w:r>
        <w:t xml:space="preserve">Challenges and Future Outlook</w:t>
      </w:r>
    </w:p>
    <w:p>
      <w:pPr>
        <w:pStyle w:val="FirstParagraph"/>
      </w:pPr>
      <w:r>
        <w:t xml:space="preserve">The landscape for the</w:t>
      </w:r>
      <w:r>
        <w:t xml:space="preserve"> </w:t>
      </w:r>
      <w:r>
        <w:t xml:space="preserve">Laboratory Technician</w:t>
      </w:r>
      <w:r>
        <w:t xml:space="preserve"> </w:t>
      </w:r>
      <w:r>
        <w:t xml:space="preserve">in</w:t>
      </w:r>
      <w:r>
        <w:t xml:space="preserve"> </w:t>
      </w:r>
      <w:r>
        <w:rPr>
          <w:bCs/>
          <w:b/>
        </w:rPr>
        <w:t xml:space="preserve">Belgium Brussels</w:t>
      </w:r>
      <w:r>
        <w:t xml:space="preserve"> </w:t>
      </w:r>
      <w:r>
        <w:t xml:space="preserve">is changing rapidly. The integration of Artificial Intelligence (AI) in diagnostic imaging and pathology review presents both opportunities and challenges. Technicians must now understand data science basics to interpret AI-assisted results accurately.</w:t>
      </w:r>
    </w:p>
    <w:p>
      <w:pPr>
        <w:pStyle w:val="BodyText"/>
      </w:pPr>
      <w:r>
        <w:t xml:space="preserve">Additionally, the post-pandemic era has highlighted the need for robust public health laboratory networks in</w:t>
      </w:r>
      <w:r>
        <w:t xml:space="preserve"> </w:t>
      </w:r>
      <w:r>
        <w:rPr>
          <w:bCs/>
          <w:b/>
        </w:rPr>
        <w:t xml:space="preserve">Belgium Brussels</w:t>
      </w:r>
      <w:r>
        <w:t xml:space="preserve">. The role of the technician has expanded to include epidemiological surveillance and rapid response capabilities during health crises. This shift demands greater resilience, adaptability, and interdisciplinary communication skills among laboratory staff.</w:t>
      </w:r>
    </w:p>
    <w:bookmarkEnd w:id="27"/>
    <w:bookmarkStart w:id="28" w:name="conclusion"/>
    <w:p>
      <w:pPr>
        <w:pStyle w:val="Heading2"/>
      </w:pPr>
      <w:r>
        <w:t xml:space="preserve">Conclusion</w:t>
      </w:r>
    </w:p>
    <w:p>
      <w:pPr>
        <w:pStyle w:val="FirstParagraph"/>
      </w:pPr>
      <w:r>
        <w:t xml:space="preserve">In conclusion, the</w:t>
      </w:r>
      <w:r>
        <w:t xml:space="preserve"> </w:t>
      </w:r>
      <w:r>
        <w:t xml:space="preserve">Laboratory Technician</w:t>
      </w:r>
      <w:r>
        <w:t xml:space="preserve"> </w:t>
      </w:r>
      <w:r>
        <w:t xml:space="preserve">is an indispensable asset to the healthcare and pharmaceutical sectors in</w:t>
      </w:r>
      <w:r>
        <w:t xml:space="preserve"> </w:t>
      </w:r>
      <w:r>
        <w:rPr>
          <w:bCs/>
          <w:b/>
        </w:rPr>
        <w:t xml:space="preserve">Belgium Brussels</w:t>
      </w:r>
      <w:r>
        <w:t xml:space="preserve">. By combining rigorous scientific training with strict adherence to regulatory standards, these professionals ensure the safety and well-being of patients across this bustling European capital. As technology advances and public health needs evolve, the demand for skilled, adaptable, and ethically grounded</w:t>
      </w:r>
      <w:r>
        <w:t xml:space="preserve"> </w:t>
      </w:r>
      <w:r>
        <w:t xml:space="preserve">Laboratory Technicians</w:t>
      </w:r>
      <w:r>
        <w:t xml:space="preserve"> </w:t>
      </w:r>
      <w:r>
        <w:t xml:space="preserve">in</w:t>
      </w:r>
      <w:r>
        <w:t xml:space="preserve"> </w:t>
      </w:r>
      <w:r>
        <w:rPr>
          <w:bCs/>
          <w:b/>
        </w:rPr>
        <w:t xml:space="preserve">Belgium Brussels</w:t>
      </w:r>
      <w:r>
        <w:t xml:space="preserve"> </w:t>
      </w:r>
      <w:r>
        <w:t xml:space="preserve">will continue to grow, driving innovation and excellence in medical science.</w:t>
      </w:r>
    </w:p>
    <w:bookmarkEnd w:id="28"/>
    <w:bookmarkStart w:id="29" w:name="references"/>
    <w:p>
      <w:pPr>
        <w:pStyle w:val="Heading2"/>
      </w:pPr>
      <w:r>
        <w:t xml:space="preserve">References</w:t>
      </w:r>
    </w:p>
    <w:p>
      <w:pPr>
        <w:numPr>
          <w:ilvl w:val="0"/>
          <w:numId w:val="1004"/>
        </w:numPr>
        <w:pStyle w:val="Compact"/>
      </w:pPr>
      <w:r>
        <w:t xml:space="preserve">FAMHP (Federal Agency for Medicines and Health Products). (2023). *Guidelines for Pharmaceutical Laboratories in Belgium.* Brussels.</w:t>
      </w:r>
    </w:p>
    <w:p>
      <w:pPr>
        <w:numPr>
          <w:ilvl w:val="0"/>
          <w:numId w:val="1004"/>
        </w:numPr>
        <w:pStyle w:val="Compact"/>
      </w:pPr>
      <w:r>
        <w:t xml:space="preserve">Vrije Universiteit Brussel. (2024). *Curriculum for Medical Laboratory Science.*</w:t>
      </w:r>
    </w:p>
    <w:p>
      <w:pPr>
        <w:numPr>
          <w:ilvl w:val="0"/>
          <w:numId w:val="1004"/>
        </w:numPr>
        <w:pStyle w:val="Compact"/>
      </w:pPr>
      <w:r>
        <w:t xml:space="preserve">Université Libre de Bruxelles. (2024). *Master’s Programme in Biomedical Sciences.*</w:t>
      </w:r>
    </w:p>
    <w:p>
      <w:pPr>
        <w:numPr>
          <w:ilvl w:val="0"/>
          <w:numId w:val="1004"/>
        </w:numPr>
        <w:pStyle w:val="Compact"/>
      </w:pPr>
      <w:r>
        <w:t xml:space="preserve">NISOA &amp; NIVEL. (2023). *Standards for Laboratory Accreditation in the Brussels Capital Region.*</w:t>
      </w:r>
    </w:p>
    <w:p>
      <w:pPr>
        <w:numPr>
          <w:ilvl w:val="0"/>
          <w:numId w:val="1004"/>
        </w:numPr>
        <w:pStyle w:val="Compact"/>
      </w:pPr>
      <w:r>
        <w:t xml:space="preserve">Eurofins Scientific. (2023). *The Role of Laboratory Professionals in EU Regulatory Compliance.* Luxembourg.</w:t>
      </w:r>
    </w:p>
    <w:bookmarkEnd w:id="29"/>
    <w:p>
      <w:pPr>
        <w:pStyle w:val="FirstParagraph"/>
      </w:pPr>
      <w:r>
        <w:t xml:space="preserve">© 2024 Academic Poster Presentation on Laboratory Sciences in Belgium Brussels.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Laboratory Technician in Belgium Brussels</dc:title>
  <dc:creator/>
  <dc:language>en</dc:language>
  <cp:keywords/>
  <dcterms:created xsi:type="dcterms:W3CDTF">2026-07-29T10:12:03Z</dcterms:created>
  <dcterms:modified xsi:type="dcterms:W3CDTF">2026-07-29T10:12:03Z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