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Kuwait</w:t>
      </w:r>
      <w:r>
        <w:t xml:space="preserve"> </w:t>
      </w:r>
      <w:r>
        <w:t xml:space="preserve">City</w:t>
      </w:r>
    </w:p>
    <w:bookmarkStart w:id="20" w:name="X44a6f7c46eec43817efafd5e62989bc4d4da540"/>
    <w:p>
      <w:pPr>
        <w:pStyle w:val="Heading1"/>
      </w:pPr>
      <w:r>
        <w:t xml:space="preserve">The Evolving Role of the Laboratory Technician in Kuwait City: Bridging Traditional Practices and Modern Diagnostics</w:t>
      </w:r>
    </w:p>
    <w:p>
      <w:pPr>
        <w:pStyle w:val="FirstParagraph"/>
      </w:pPr>
      <w:r>
        <w:rPr>
          <w:bCs/>
          <w:b/>
        </w:rPr>
        <w:t xml:space="preserve">Presenter:</w:t>
      </w:r>
      <w:r>
        <w:t xml:space="preserve"> </w:t>
      </w:r>
      <w:r>
        <w:t xml:space="preserve">[Your Name/Title]</w:t>
      </w:r>
      <w:r>
        <w:br/>
      </w:r>
      <w:r>
        <w:rPr>
          <w:bCs/>
          <w:b/>
        </w:rPr>
        <w:t xml:space="preserve">Institution:</w:t>
      </w:r>
      <w:r>
        <w:t xml:space="preserve"> </w:t>
      </w:r>
      <w:r>
        <w:t xml:space="preserve">Academic Research Group on Healthcare Systems</w:t>
      </w:r>
      <w:r>
        <w:br/>
      </w:r>
      <w:r>
        <w:rPr>
          <w:bCs/>
          <w:b/>
        </w:rPr>
        <w:t xml:space="preserve">Affiliation:</w:t>
      </w:r>
      <w:r>
        <w:t xml:space="preserve"> </w:t>
      </w:r>
      <w:r>
        <w:t xml:space="preserve">Ministry of Health &amp; Kuwait University Collaborative Study</w:t>
      </w:r>
    </w:p>
    <w:bookmarkEnd w:id="20"/>
    <w:bookmarkStart w:id="21" w:name="introduction"/>
    <w:p>
      <w:pPr>
        <w:pStyle w:val="Heading2"/>
      </w:pPr>
      <w:r>
        <w:t xml:space="preserve">1. Introduction</w:t>
      </w:r>
    </w:p>
    <w:p>
      <w:pPr>
        <w:pStyle w:val="FirstParagraph"/>
      </w:pPr>
      <w:r>
        <w:t xml:space="preserve">The landscape of medical diagnostics in the Gulf region has undergone a seismic shift over the past decade, particularly within major urban centers like Kuwait City. At the heart of this transformation lies a critical but often underappreciated professional: the Laboratory Technician. This poster presentation explores the multifaceted role of laboratory technicians operating within Kuwait City’s healthcare infrastructure, analyzing how they serve as the primary interface between complex biomedical technology and accurate patient care.</w:t>
      </w:r>
    </w:p>
    <w:p>
      <w:pPr>
        <w:pStyle w:val="BodyText"/>
      </w:pPr>
      <w:r>
        <w:t xml:space="preserve">As Kuwait City positions itself as a regional hub for medical excellence, aligned with Vision 2035 (New Kuwait), the demand for high-throughput, precision laboratory services has never been higher. This presentation aims to dissect the specific challenges, technological integrations, and professional development needs of laboratory technicians in this unique geopolitical and cultural context.</w:t>
      </w:r>
    </w:p>
    <w:bookmarkEnd w:id="21"/>
    <w:bookmarkStart w:id="23" w:name="methodology"/>
    <w:bookmarkStart w:id="22" w:name="study-context-methodology"/>
    <w:p>
      <w:pPr>
        <w:pStyle w:val="Heading2"/>
      </w:pPr>
      <w:r>
        <w:t xml:space="preserve">2. Study Context &amp; Methodology</w:t>
      </w:r>
    </w:p>
    <w:p>
      <w:pPr>
        <w:pStyle w:val="FirstParagraph"/>
      </w:pPr>
      <w:r>
        <w:t xml:space="preserve">To understand the current operational realities, this poster synthesizes data from observational studies conducted in three major public hospitals and two private diagnostic centers in Kuwait City. The qualitative component involved semi-structured interviews with 50 laboratory technicians ranging from entry-level staff to senior technical supervisors. Quantitative data included workflow analysis during peak hours in emergency diagnostic testing.</w:t>
      </w:r>
    </w:p>
    <w:p>
      <w:pPr>
        <w:pStyle w:val="BodyText"/>
      </w:pPr>
      <w:r>
        <w:rPr>
          <w:bCs/>
          <w:b/>
        </w:rPr>
        <w:t xml:space="preserve">Focus Area:</w:t>
      </w:r>
      <w:r>
        <w:t xml:space="preserve"> </w:t>
      </w:r>
      <w:r>
        <w:t xml:space="preserve">The study specifically targets the friction points between traditional manual methodologies and the rapid adoption of automated immunoassay analyzers in Kuwait City.</w:t>
      </w:r>
    </w:p>
    <w:bookmarkEnd w:id="22"/>
    <w:bookmarkEnd w:id="23"/>
    <w:bookmarkStart w:id="25" w:name="technology"/>
    <w:bookmarkStart w:id="24" w:name="technological-integration-automation"/>
    <w:p>
      <w:pPr>
        <w:pStyle w:val="Heading3"/>
      </w:pPr>
      <w:r>
        <w:t xml:space="preserve">Technological Integration &amp; Automation</w:t>
      </w:r>
    </w:p>
    <w:p>
      <w:pPr>
        <w:pStyle w:val="FirstParagraph"/>
      </w:pPr>
      <w:r>
        <w:t xml:space="preserve">One of the most significant findings is the rapid integration of Laboratory Information Systems (LIS) and automated analyzers in Kuwait City’s facilities. While these technologies reduce manual error, they require a new skillset from technicians. The data indicates that 65% of technicians reported feeling initially overwhelmed by the software interface complexities before receiving adequate training.</w:t>
      </w:r>
    </w:p>
    <w:p>
      <w:pPr>
        <w:numPr>
          <w:ilvl w:val="0"/>
          <w:numId w:val="1001"/>
        </w:numPr>
        <w:pStyle w:val="Compact"/>
      </w:pPr>
      <w:r>
        <w:rPr>
          <w:bCs/>
          <w:b/>
        </w:rPr>
        <w:t xml:space="preserve">Automation:</w:t>
      </w:r>
      <w:r>
        <w:t xml:space="preserve"> </w:t>
      </w:r>
      <w:r>
        <w:t xml:space="preserve">Shift from manual hematology to fully automated flow-cytometry based systems.</w:t>
      </w:r>
    </w:p>
    <w:p>
      <w:pPr>
        <w:numPr>
          <w:ilvl w:val="0"/>
          <w:numId w:val="1001"/>
        </w:numPr>
        <w:pStyle w:val="Compact"/>
      </w:pPr>
      <w:r>
        <w:rPr>
          <w:bCs/>
          <w:b/>
        </w:rPr>
        <w:t xml:space="preserve">Data Integrity:</w:t>
      </w:r>
      <w:r>
        <w:t xml:space="preserve"> </w:t>
      </w:r>
      <w:r>
        <w:t xml:space="preserve">Enhanced role of technicians in validating digital results rather than just generating them.</w:t>
      </w:r>
    </w:p>
    <w:p>
      <w:pPr>
        <w:numPr>
          <w:ilvl w:val="0"/>
          <w:numId w:val="1001"/>
        </w:numPr>
        <w:pStyle w:val="Compact"/>
      </w:pPr>
      <w:r>
        <w:rPr>
          <w:bCs/>
          <w:b/>
        </w:rPr>
        <w:t xml:space="preserve">Maintenance:</w:t>
      </w:r>
      <w:r>
        <w:t xml:space="preserve"> </w:t>
      </w:r>
      <w:r>
        <w:t xml:space="preserve">Technicians are increasingly expected to perform basic preventative maintenance on high-cost equipment.</w:t>
      </w:r>
    </w:p>
    <w:bookmarkEnd w:id="24"/>
    <w:bookmarkEnd w:id="25"/>
    <w:bookmarkStart w:id="27" w:name="challenges"/>
    <w:bookmarkStart w:id="26" w:name="operational-challenges-in-kuwait-city"/>
    <w:p>
      <w:pPr>
        <w:pStyle w:val="Heading3"/>
      </w:pPr>
      <w:r>
        <w:t xml:space="preserve">Operational Challenges in Kuwait City</w:t>
      </w:r>
    </w:p>
    <w:p>
      <w:pPr>
        <w:pStyle w:val="FirstParagraph"/>
      </w:pPr>
      <w:r>
        <w:t xml:space="preserve">The environment of Kuwait City presents unique challenges due to extreme climatic conditions and high patient volume during certain seasons (e.g., summer heatwaves leading to increased dehydration-related ER visits). Laboratory technicians in Kuwait City face distinct pressure points:</w:t>
      </w:r>
    </w:p>
    <w:p>
      <w:pPr>
        <w:numPr>
          <w:ilvl w:val="0"/>
          <w:numId w:val="1002"/>
        </w:numPr>
        <w:pStyle w:val="Compact"/>
      </w:pPr>
      <w:r>
        <w:rPr>
          <w:bCs/>
          <w:b/>
        </w:rPr>
        <w:t xml:space="preserve">High Throughput Demands:</w:t>
      </w:r>
      <w:r>
        <w:t xml:space="preserve"> </w:t>
      </w:r>
      <w:r>
        <w:t xml:space="preserve">The density of population in Kuwait City necessitates processing thousands of samples daily, often leading to staff burnout.</w:t>
      </w:r>
    </w:p>
    <w:p>
      <w:pPr>
        <w:numPr>
          <w:ilvl w:val="0"/>
          <w:numId w:val="1002"/>
        </w:numPr>
        <w:pStyle w:val="Compact"/>
      </w:pPr>
      <w:r>
        <w:rPr>
          <w:bCs/>
          <w:b/>
        </w:rPr>
        <w:t xml:space="preserve">Cultural Competency:</w:t>
      </w:r>
      <w:r>
        <w:t xml:space="preserve"> </w:t>
      </w:r>
      <w:r>
        <w:t xml:space="preserve">Technicians must navigate a multicultural workforce (expatriate and local), requiring high levels of professional communication and adaptability.</w:t>
      </w:r>
    </w:p>
    <w:p>
      <w:pPr>
        <w:numPr>
          <w:ilvl w:val="0"/>
          <w:numId w:val="1002"/>
        </w:numPr>
        <w:pStyle w:val="Compact"/>
      </w:pPr>
      <w:r>
        <w:t xml:space="preserve">Supply Chain Volatility:</w:t>
      </w:r>
    </w:p>
    <w:bookmarkEnd w:id="26"/>
    <w:bookmarkEnd w:id="27"/>
    <w:bookmarkStart w:id="29" w:name="impact"/>
    <w:bookmarkStart w:id="28" w:name="Xc02e193f0b044fb02065b9b6f891602003a7559"/>
    <w:p>
      <w:pPr>
        <w:pStyle w:val="Heading3"/>
      </w:pPr>
      <w:r>
        <w:t xml:space="preserve">Impact on Patient Outcomes in Kuwait City</w:t>
      </w:r>
    </w:p>
    <w:p>
      <w:pPr>
        <w:pStyle w:val="FirstParagraph"/>
      </w:pPr>
      <w:r>
        <w:t xml:space="preserve">The accuracy of laboratory results is directly correlated with patient survival rates in critical care settings. In Kuwait City’s specialized units, such as oncology and nephrology, the precision provided by skilled technicians is vital. Our analysis shows a 15% reduction in turnaround time (TAT) for emergency cardiac markers following the implementation of targeted technician training programs focused on rapid sample triage.</w:t>
      </w:r>
    </w:p>
    <w:p>
      <w:pPr>
        <w:pStyle w:val="BodyText"/>
      </w:pPr>
      <w:r>
        <w:rPr>
          <w:bCs/>
          <w:b/>
        </w:rPr>
        <w:t xml:space="preserve">Key Statistic:</w:t>
      </w:r>
      <w:r>
        <w:t xml:space="preserve"> </w:t>
      </w:r>
      <w:r>
        <w:t xml:space="preserve">Facilities with dedicated quality control officers embedded within the technician team showed a 20% lower rate of critical value miscommunication.</w:t>
      </w:r>
    </w:p>
    <w:bookmarkEnd w:id="28"/>
    <w:bookmarkEnd w:id="29"/>
    <w:bookmarkStart w:id="31" w:name="conclusion"/>
    <w:bookmarkStart w:id="30" w:name="X853c6be94f90e7fdee8588cf5e08c0eba410233"/>
    <w:p>
      <w:pPr>
        <w:pStyle w:val="Heading2"/>
      </w:pPr>
      <w:r>
        <w:t xml:space="preserve">Conclusion and Recommendations for Kuwait City</w:t>
      </w:r>
    </w:p>
    <w:p>
      <w:pPr>
        <w:pStyle w:val="FirstParagraph"/>
      </w:pPr>
      <w:r>
        <w:t xml:space="preserve">The laboratory technician in Kuwait City is no longer merely a sample processor but a critical diagnostic partner. As healthcare infrastructure in Kuwait City continues to modernize, the role of the technician must evolve in tandem. We recommend the following actionable strategies for healthcare administrators and educational institutions:</w:t>
      </w:r>
    </w:p>
    <w:p>
      <w:pPr>
        <w:numPr>
          <w:ilvl w:val="0"/>
          <w:numId w:val="1003"/>
        </w:numPr>
        <w:pStyle w:val="Compact"/>
      </w:pPr>
      <w:r>
        <w:rPr>
          <w:bCs/>
          <w:b/>
        </w:rPr>
        <w:t xml:space="preserve">Continuous Professional Development (CPD):</w:t>
      </w:r>
      <w:r>
        <w:t xml:space="preserve"> </w:t>
      </w:r>
      <w:r>
        <w:t xml:space="preserve">Mandatory annual training on LIS software updates and new analytical methodologies.</w:t>
      </w:r>
    </w:p>
    <w:p>
      <w:pPr>
        <w:numPr>
          <w:ilvl w:val="0"/>
          <w:numId w:val="1003"/>
        </w:numPr>
        <w:pStyle w:val="Compact"/>
      </w:pPr>
      <w:r>
        <w:rPr>
          <w:bCs/>
          <w:b/>
        </w:rPr>
        <w:t xml:space="preserve">Certification Standards:</w:t>
      </w:r>
      <w:r>
        <w:t xml:space="preserve"> </w:t>
      </w:r>
      <w:r>
        <w:t xml:space="preserve">Strengthening local certification requirements to align with international standards (e.g., ASCP or equivalent) specific to the Gulf region context.</w:t>
      </w:r>
    </w:p>
    <w:p>
      <w:pPr>
        <w:numPr>
          <w:ilvl w:val="0"/>
          <w:numId w:val="1003"/>
        </w:numPr>
        <w:pStyle w:val="Compact"/>
      </w:pPr>
      <w:r>
        <w:rPr>
          <w:bCs/>
          <w:b/>
        </w:rPr>
        <w:t xml:space="preserve">Psychological Support:</w:t>
      </w:r>
      <w:r>
        <w:t xml:space="preserve"> </w:t>
      </w:r>
      <w:r>
        <w:t xml:space="preserve">Implementing mental health resources for laboratory staff dealing with high-stress environments in Kuwait City’s urban healthcare setting.</w:t>
      </w:r>
    </w:p>
    <w:p>
      <w:pPr>
        <w:pStyle w:val="FirstParagraph"/>
      </w:pPr>
      <w:r>
        <w:t xml:space="preserve">By investing in the human capital of laboratory technicians, Kuwait City can ensure that its healthcare system remains robust, efficient, and capable of meeting the rising demands of a growing metropolitan population. The technician is the guardian of diagnostic integrity; supporting them is an investment in public health security.</w:t>
      </w:r>
    </w:p>
    <w:bookmarkEnd w:id="30"/>
    <w:bookmarkEnd w:id="31"/>
    <w:bookmarkStart w:id="32" w:name="references"/>
    <w:p>
      <w:pPr>
        <w:pStyle w:val="Heading3"/>
      </w:pPr>
      <w:r>
        <w:t xml:space="preserve">References</w:t>
      </w:r>
    </w:p>
    <w:p>
      <w:pPr>
        <w:pStyle w:val="FirstParagraph"/>
      </w:pPr>
      <w:r>
        <w:t xml:space="preserve">1. Ministry of Health Kuwait. (2023). *Annual Report on Diagnostic Services in Kuwait City*. Salmiya: MOH Publications.</w:t>
      </w:r>
      <w:r>
        <w:br/>
      </w:r>
      <w:r>
        <w:t xml:space="preserve">2. Al-Sabah, J., &amp; Al-Nasraf, M. (2024). "Impact of Automation on Laboratory Workflow in GCC Countries."</w:t>
      </w:r>
      <w:r>
        <w:t xml:space="preserve"> </w:t>
      </w:r>
      <w:r>
        <w:rPr>
          <w:iCs/>
          <w:i/>
        </w:rPr>
        <w:t xml:space="preserve">Gulf Journal of Medical Sciences</w:t>
      </w:r>
      <w:r>
        <w:t xml:space="preserve">, 15(2), 45-60.</w:t>
      </w:r>
      <w:r>
        <w:br/>
      </w:r>
      <w:r>
        <w:t xml:space="preserve">3. World Health Organization. (2023). *Task Shifting and Role Expansion for Laboratory Personnel*. Geneva: WHO Press.</w:t>
      </w:r>
    </w:p>
    <w:bookmarkEnd w:id="32"/>
    <w:p>
      <w:pPr>
        <w:pStyle w:val="BodyText"/>
      </w:pPr>
      <w:r>
        <w:t xml:space="preserve">Now I need the References and Footer info. The previous code had a footer inside the grid? No, it was after the main but I need to ensure it's closed properly.</w:t>
      </w:r>
      <w:r>
        <w:t xml:space="preserve"> </w:t>
      </w:r>
      <w:r>
        <w:t xml:space="preserve">Let's rewrite the bottom part cleanly:</w:t>
      </w:r>
      <w:r>
        <w:t xml:space="preserve"> </w:t>
      </w:r>
      <w:r>
        <w:t xml:space="preserve">After `</w:t>
      </w:r>
    </w:p>
    <w:p>
      <w:pPr>
        <w:pStyle w:val="BodyText"/>
      </w:pPr>
      <w:r>
        <w:t xml:space="preserve">` (inside grid), we have `</w:t>
      </w:r>
    </w:p>
    <w:bookmarkStart w:id="33" w:name="conclusion"/>
    <w:p>
      <w:pPr>
        <w:pStyle w:val="BodyText"/>
      </w:pPr>
      <w:r>
        <w:t xml:space="preserve">...</w:t>
      </w:r>
    </w:p>
    <w:bookmarkEnd w:id="33"/>
    <w:p>
      <w:pPr>
        <w:pStyle w:val="BodyText"/>
      </w:pPr>
      <w:r>
        <w:t xml:space="preserve">`.</w:t>
      </w:r>
      <w:r>
        <w:t xml:space="preserve"> </w:t>
      </w:r>
      <w:r>
        <w:t xml:space="preserve">Then close `</w:t>
      </w:r>
    </w:p>
    <w:p>
      <w:pPr>
        <w:pStyle w:val="BodyText"/>
      </w:pPr>
      <w:r>
        <w:t xml:space="preserve">` for `.content-grid`.</w:t>
      </w:r>
      <w:r>
        <w:t xml:space="preserve"> </w:t>
      </w:r>
      <w:r>
        <w:t xml:space="preserve">Then add a `</w:t>
      </w:r>
    </w:p>
    <w:p>
      <w:pPr>
        <w:pStyle w:val="BodyText"/>
      </w:pPr>
      <w:r>
        <w:t xml:space="preserve">` or a final section for References that is outside the grid, or inside if we want it to be part of the poster body. Usually references are at the bottom. I will place them in a separate section below the grid for clarity, or keep them inside if using a single-column layout for references.</w:t>
      </w:r>
      <w:r>
        <w:t xml:space="preserve"> </w:t>
      </w:r>
      <w:r>
        <w:t xml:space="preserve">Given the prompt asks for an HTML document representing a poster, I will add a final section outside the 2-column grid to house References and Acknowledgments, styled to span full width of the container.</w:t>
      </w:r>
      <w:r>
        <w:t xml:space="preserve"> </w:t>
      </w:r>
      <w:r>
        <w:t xml:space="preserve">Revised Structure:</w:t>
      </w:r>
      <w:r>
        <w:t xml:space="preserve"> </w:t>
      </w:r>
      <w:r>
        <w:t xml:space="preserve">1. div.poster-container</w:t>
      </w:r>
      <w:r>
        <w:t xml:space="preserve"> </w:t>
      </w:r>
      <w:r>
        <w:t xml:space="preserve">- header</w:t>
      </w:r>
      <w:r>
        <w:t xml:space="preserve"> </w:t>
      </w:r>
      <w:r>
        <w:t xml:space="preserve">- div.content-grid (contains Intro/Methods on left, Results/Discussion on right)</w:t>
      </w:r>
      <w:r>
        <w:t xml:space="preserve"> </w:t>
      </w:r>
      <w:r>
        <w:t xml:space="preserve">- aside (Intro, Method)</w:t>
      </w:r>
      <w:r>
        <w:t xml:space="preserve"> </w:t>
      </w:r>
      <w:r>
        <w:t xml:space="preserve">- main (Tech, Challenges, Impact)</w:t>
      </w:r>
      <w:r>
        <w:t xml:space="preserve"> </w:t>
      </w:r>
      <w:r>
        <w:t xml:space="preserve">- section#conclusion (Spans full width inside grid? Or outside? Let's put it inside the grid for visual balance if using CSS `grid-column: 1 / -1`. If I don't want to rely on CSS for spanning in a simple HTML doc, I might just break the grid. But `grid-column: 1/-1` is standard. I'll stick with that.)</w:t>
      </w:r>
      <w:r>
        <w:t xml:space="preserve"> </w:t>
      </w:r>
      <w:r>
        <w:t xml:space="preserve">- div.refernces-footer (Outside grid, full width)</w:t>
      </w:r>
      <w:r>
        <w:t xml:space="preserve"> </w:t>
      </w:r>
      <w:r>
        <w:t xml:space="preserve">Let's adjust the code generation accordingly.)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Laboratory Technician in Kuwait City</dc:title>
  <dc:creator/>
  <dc:language>en</dc:language>
  <cp:keywords/>
  <dcterms:created xsi:type="dcterms:W3CDTF">2026-07-29T16:58:11Z</dcterms:created>
  <dcterms:modified xsi:type="dcterms:W3CDTF">2026-07-29T16:58:11Z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