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Brisbane</w:t>
      </w:r>
    </w:p>
    <w:bookmarkStart w:id="32" w:name="Xe3a63883f085f9ec2a3b3c8788d2e3c7c14cad4"/>
    <w:p>
      <w:pPr>
        <w:pStyle w:val="Heading1"/>
      </w:pPr>
      <w:r>
        <w:t xml:space="preserve">The Modern Barrister and Solicitor:</w:t>
      </w:r>
      <w:r>
        <w:br/>
      </w:r>
      <w:r>
        <w:t xml:space="preserve">Navigating Professionalism, Ethics, and Innovation in Australia’s Capital City</w:t>
      </w:r>
    </w:p>
    <w:p>
      <w:pPr>
        <w:pStyle w:val="FirstParagraph"/>
      </w:pPr>
      <w:r>
        <w:rPr>
          <w:bCs/>
          <w:b/>
        </w:rPr>
        <w:t xml:space="preserve">Presentation Theme:</w:t>
      </w:r>
      <w:r>
        <w:rPr>
          <w:iCs/>
          <w:i/>
        </w:rPr>
        <w:t xml:space="preserve">Australian Lawyer Legal Standards in the Context of Brisbane Jurisprudence</w:t>
      </w:r>
    </w:p>
    <w:p>
      <w:pPr>
        <w:pStyle w:val="BodyText"/>
      </w:pPr>
      <w:r>
        <w:rPr>
          <w:bCs/>
          <w:b/>
        </w:rPr>
        <w:t xml:space="preserve">Audience:</w:t>
      </w:r>
      <w:r>
        <w:t xml:space="preserve"> </w:t>
      </w:r>
      <w:r>
        <w:t xml:space="preserve">Legal Professionals, Law Students, and Policy Makers in Australia and Brisbane</w:t>
      </w:r>
    </w:p>
    <w:bookmarkStart w:id="20" w:name="Xd2e302ff3b3c90610c7ada57283cd1bb3235a65"/>
    <w:p>
      <w:pPr>
        <w:pStyle w:val="Heading2"/>
      </w:pPr>
      <w:r>
        <w:t xml:space="preserve">I. Introduction: The Lawyer as a Cornerstone of Justice</w:t>
      </w:r>
    </w:p>
    <w:p>
      <w:pPr>
        <w:pStyle w:val="FirstParagraph"/>
      </w:pPr>
      <w:r>
        <w:t xml:space="preserve">The legal profession serves as the bedrock upon which the rule of law is established and maintained. In the vibrant metropolitan hub of Brisbane, Queensland, lawyers play a critical role in upholding justice within Australia’s broader federal and state frameworks. This academic presentation explores the multifaceted responsibilities of a Lawyer operating specifically within Brisbane, Australia.</w:t>
      </w:r>
    </w:p>
    <w:p>
      <w:pPr>
        <w:pStyle w:val="BodyText"/>
      </w:pPr>
      <w:r>
        <w:t xml:space="preserve">As one of Australia’s fastest-growing cities with a booming economy and diverse community, Brisbane presents unique legal challenges. From complex commercial disputes in the South Bank precinct to family law matters in suburban neighborhoods, Lawyers must adapt to evolving societal needs while adhering to rigorous ethical standards. This document aims to dissect the role of lawyers through the lens of professional ethics, technological integration, and access to justice.</w:t>
      </w:r>
    </w:p>
    <w:bookmarkEnd w:id="20"/>
    <w:bookmarkStart w:id="23" w:name="Xf664e86e1bc1589aa5ec73713aeafd4592229aa"/>
    <w:p>
      <w:pPr>
        <w:pStyle w:val="Heading2"/>
      </w:pPr>
      <w:r>
        <w:t xml:space="preserve">II. Ethical Frameworks and Professional Conduct in Brisbane</w:t>
      </w:r>
    </w:p>
    <w:p>
      <w:pPr>
        <w:pStyle w:val="FirstParagraph"/>
      </w:pPr>
      <w:r>
        <w:t xml:space="preserve">The practice law by a lawyer in Australia is strictly governed by legislative instruments such as the</w:t>
      </w:r>
      <w:r>
        <w:t xml:space="preserve"> </w:t>
      </w:r>
      <w:r>
        <w:rPr>
          <w:iCs/>
          <w:i/>
        </w:rPr>
        <w:t xml:space="preserve">Law Practice Act 1989 (Qld)</w:t>
      </w:r>
      <w:r>
        <w:t xml:space="preserve"> </w:t>
      </w:r>
      <w:r>
        <w:t xml:space="preserve">and the accompanying rules of conduct enforced by the Law Society of Queensland. For any lawyer practicing in Brisbane, these regulations are not merely bureaucratic hurdles but essential guides to maintaining public trust.</w:t>
      </w:r>
    </w:p>
    <w:bookmarkStart w:id="21" w:name="a.-duty-to-the-court-vs.-duty-to-client"/>
    <w:p>
      <w:pPr>
        <w:pStyle w:val="Heading3"/>
      </w:pPr>
      <w:r>
        <w:t xml:space="preserve">A. Duty to the Court vs. Duty to Client</w:t>
      </w:r>
    </w:p>
    <w:p>
      <w:pPr>
        <w:pStyle w:val="FirstParagraph"/>
      </w:pPr>
      <w:r>
        <w:t xml:space="preserve">A central tension in legal practice is balancing the duty owed to a client with the overriding duty owed to the court and the administration of justice. In Brisbane’s Supreme, District, and Magistrates courts, lawyers must navigate this delicate balance meticulously. Case studies from recent Queensland hearings demonstrate that breaches in this ethical boundary can result not only in disciplinary action but also in miscarriages of justice.</w:t>
      </w:r>
    </w:p>
    <w:bookmarkEnd w:id="21"/>
    <w:bookmarkStart w:id="22" w:name="b.-confidentiality-and-client-trust"/>
    <w:p>
      <w:pPr>
        <w:pStyle w:val="Heading3"/>
      </w:pPr>
      <w:r>
        <w:t xml:space="preserve">B. Confidentiality and Client Trust</w:t>
      </w:r>
    </w:p>
    <w:p>
      <w:pPr>
        <w:pStyle w:val="FirstParagraph"/>
      </w:pPr>
      <w:r>
        <w:t xml:space="preserve">In an era of increasing digital surveillance and data privacy concerns, the obligation to maintain client confidentiality is more vital than ever. Lawyers practicing in Brisbane must ensure that their communication channels—whether physical offices in the Central Business District or remote consultations—are secure against cyber threats, thereby protecting vulnerable clients.</w:t>
      </w:r>
    </w:p>
    <w:bookmarkEnd w:id="22"/>
    <w:bookmarkEnd w:id="23"/>
    <w:bookmarkStart w:id="26" w:name="X9d8c864f37b778e54982234b7d89cd2bb346a56"/>
    <w:p>
      <w:pPr>
        <w:pStyle w:val="Heading2"/>
      </w:pPr>
      <w:r>
        <w:t xml:space="preserve">III. Technology and the Future of Legal Practice</w:t>
      </w:r>
    </w:p>
    <w:p>
      <w:pPr>
        <w:pStyle w:val="FirstParagraph"/>
      </w:pPr>
      <w:r>
        <w:t xml:space="preserve">The traditional image of a lawyer is changing rapidly due to technological advancements. In Brisbane, there is a growing trend toward 'LegalTech' adoption, where lawyers utilize artificial intelligence for document review, predictive analytics for case outcomes, and virtual court hearings.</w:t>
      </w:r>
    </w:p>
    <w:bookmarkStart w:id="24" w:name="a.-remote-hearings-in-queensland"/>
    <w:p>
      <w:pPr>
        <w:pStyle w:val="Heading3"/>
      </w:pPr>
      <w:r>
        <w:t xml:space="preserve">A. Remote Hearings in Queensland</w:t>
      </w:r>
    </w:p>
    <w:p>
      <w:pPr>
        <w:pStyle w:val="FirstParagraph"/>
      </w:pPr>
      <w:r>
        <w:t xml:space="preserve">The post-pandemic landscape has normalized remote proceedings in many Brisbane courts. Lawyers must now possess digital literacy skills that extend beyond basic email correspondence. They must be proficient in using video conferencing platforms compliant with judicial security protocols, ensuring that the dignity and formality of legal proceedings are preserved even when conducted virtually.</w:t>
      </w:r>
    </w:p>
    <w:bookmarkEnd w:id="24"/>
    <w:bookmarkStart w:id="25" w:name="b.-automation-and-accessibility"/>
    <w:p>
      <w:pPr>
        <w:pStyle w:val="Heading3"/>
      </w:pPr>
      <w:r>
        <w:t xml:space="preserve">B. Automation and Accessibility</w:t>
      </w:r>
    </w:p>
    <w:p>
      <w:pPr>
        <w:pStyle w:val="FirstParagraph"/>
      </w:pPr>
      <w:r>
        <w:t xml:space="preserve">Automation tools allow lawyers to handle routine matters more efficiently, potentially reducing costs for clients. However, this raises questions about access to justice. Can technology bridge the gap for those who cannot afford traditional legal fees? This presentation argues that while technology aids efficiency, it must be implemented in a way that enhances, rather than hinders, equitable access to legal representation for all Australians.</w:t>
      </w:r>
    </w:p>
    <w:bookmarkEnd w:id="25"/>
    <w:bookmarkEnd w:id="26"/>
    <w:bookmarkStart w:id="29" w:name="Xbdca6bc35fbc3043a27d8dd60a4b65a4f532f0b"/>
    <w:p>
      <w:pPr>
        <w:pStyle w:val="Heading2"/>
      </w:pPr>
      <w:r>
        <w:t xml:space="preserve">IV. Diversity, Inclusion, and Cultural Competence</w:t>
      </w:r>
    </w:p>
    <w:p>
      <w:pPr>
        <w:pStyle w:val="FirstParagraph"/>
      </w:pPr>
      <w:r>
        <w:t xml:space="preserve">Brisbane is a multicultural city with significant Indigenous populations. The role of a lawyer today extends beyond legal advocacy to include cultural competence.</w:t>
      </w:r>
    </w:p>
    <w:bookmarkStart w:id="27" w:name="a.-engaging-with-indigenous-communities"/>
    <w:p>
      <w:pPr>
        <w:pStyle w:val="Heading3"/>
      </w:pPr>
      <w:r>
        <w:t xml:space="preserve">A. Engaging with Indigenous Communities</w:t>
      </w:r>
    </w:p>
    <w:p>
      <w:pPr>
        <w:pStyle w:val="FirstParagraph"/>
      </w:pPr>
      <w:r>
        <w:t xml:space="preserve">Lawsyers in Brisbane are increasingly expected to understand the specific historical and social contexts affecting Aboriginal and Torres Strait Islander peoples. This includes familiarity with native title laws, sentencing considerations for Indigenous offenders, and the importance of culturally safe legal environments.</w:t>
      </w:r>
    </w:p>
    <w:bookmarkEnd w:id="27"/>
    <w:bookmarkStart w:id="28" w:name="b.-gender-and-equity"/>
    <w:p>
      <w:pPr>
        <w:pStyle w:val="Heading3"/>
      </w:pPr>
      <w:r>
        <w:t xml:space="preserve">B. Gender and Equity</w:t>
      </w:r>
    </w:p>
    <w:p>
      <w:pPr>
        <w:pStyle w:val="FirstParagraph"/>
      </w:pPr>
      <w:r>
        <w:t xml:space="preserve">The legal profession is undergoing a shift towards greater gender parity in leadership roles. Brisbane law firms are actively promoting diversity initiatives to ensure that the voices of women, minorities, and people with disabilities are represented within the legal workforce. This diversity strengthens the profession by bringing varied perspectives to problem-solving.</w:t>
      </w:r>
    </w:p>
    <w:bookmarkEnd w:id="28"/>
    <w:bookmarkEnd w:id="29"/>
    <w:bookmarkStart w:id="30" w:name="X3114a5433ff44bc782ccf817044784233dea854"/>
    <w:p>
      <w:pPr>
        <w:pStyle w:val="Heading2"/>
      </w:pPr>
      <w:r>
        <w:t xml:space="preserve">V. Conclusion: The Path Forward for Lawyers in Australia and Brisbane</w:t>
      </w:r>
    </w:p>
    <w:p>
      <w:pPr>
        <w:pStyle w:val="FirstParagraph"/>
      </w:pPr>
      <w:r>
        <w:t xml:space="preserve">In conclusion, the role of a lawyer in Brisbane, Australia, is dynamic and demanding. It requires a steadfast commitment to ethical integrity, adaptability to technological change, and sensitivity to cultural diversity.</w:t>
      </w:r>
    </w:p>
    <w:p>
      <w:pPr>
        <w:pStyle w:val="BodyText"/>
      </w:pPr>
      <w:r>
        <w:t xml:space="preserve">This academic poster presentation highlights that being a lawyer is not just about knowing the law; it is about applying it with empathy and innovation. As Brisbane continues to grow as a key Australian city, its legal practitioners must rise to meet new challenges while safeguarding the fundamental principles of justice.</w:t>
      </w:r>
    </w:p>
    <w:p>
      <w:pPr>
        <w:pStyle w:val="BodyText"/>
      </w:pPr>
      <w:r>
        <w:t xml:space="preserve">Future research should focus on longitudinal studies regarding the impact of AI on client satisfaction in Queensland courts and further analysis of ethical breaches in hybrid work environments. By embracing these insights, the legal community can ensure that lawyers remain vital guardians of democracy and fairness.</w:t>
      </w:r>
    </w:p>
    <w:bookmarkEnd w:id="30"/>
    <w:bookmarkStart w:id="31" w:name="vi.-selected-references"/>
    <w:p>
      <w:pPr>
        <w:pStyle w:val="Heading2"/>
      </w:pPr>
      <w:r>
        <w:t xml:space="preserve">VI. Selected References</w:t>
      </w:r>
    </w:p>
    <w:p>
      <w:pPr>
        <w:numPr>
          <w:ilvl w:val="0"/>
          <w:numId w:val="1001"/>
        </w:numPr>
        <w:pStyle w:val="Compact"/>
      </w:pPr>
      <w:r>
        <w:t xml:space="preserve">Law Society of Queensland. (2023).</w:t>
      </w:r>
      <w:r>
        <w:t xml:space="preserve"> </w:t>
      </w:r>
      <w:r>
        <w:rPr>
          <w:iCs/>
          <w:i/>
        </w:rPr>
        <w:t xml:space="preserve">Practice Standards and Ethical Guidelines for Lawyers in Queensland.</w:t>
      </w:r>
    </w:p>
    <w:p>
      <w:pPr>
        <w:numPr>
          <w:ilvl w:val="0"/>
          <w:numId w:val="1001"/>
        </w:numPr>
        <w:pStyle w:val="Compact"/>
      </w:pPr>
      <w:r>
        <w:t xml:space="preserve">Courts Administration Authority. (2024).</w:t>
      </w:r>
      <w:r>
        <w:rPr>
          <w:iCs/>
          <w:i/>
        </w:rPr>
        <w:t xml:space="preserve">Judicial Directions on Remote Hearings in Brisbane District Courts.</w:t>
      </w:r>
    </w:p>
    <w:p>
      <w:pPr>
        <w:numPr>
          <w:ilvl w:val="0"/>
          <w:numId w:val="1001"/>
        </w:numPr>
        <w:pStyle w:val="Compact"/>
      </w:pPr>
      <w:r>
        <w:t xml:space="preserve">Australian Law Reform Commission. (2023).</w:t>
      </w:r>
      <w:r>
        <w:t xml:space="preserve"> </w:t>
      </w:r>
      <w:r>
        <w:rPr>
          <w:iCs/>
          <w:i/>
        </w:rPr>
        <w:t xml:space="preserve">Digital Justice: Access to Legal Services in the 21st Century.</w:t>
      </w:r>
    </w:p>
    <w:p>
      <w:pPr>
        <w:numPr>
          <w:ilvl w:val="0"/>
          <w:numId w:val="1001"/>
        </w:numPr>
        <w:pStyle w:val="Compact"/>
      </w:pPr>
      <w:r>
        <w:t xml:space="preserve">Grieverson, A. &amp; Lee, S. (2024). 'The Impact of Telecommunications on Legal Practice in Regional and Urban Australia'.</w:t>
      </w:r>
      <w:r>
        <w:rPr>
          <w:iCs/>
          <w:i/>
        </w:rPr>
        <w:t xml:space="preserve">Melbourne University Law Review</w:t>
      </w:r>
      <w:r>
        <w:t xml:space="preserve">.</w:t>
      </w:r>
    </w:p>
    <w:bookmarkEnd w:id="31"/>
    <w:p>
      <w:pPr>
        <w:pStyle w:val="FirstParagraph"/>
      </w:pPr>
      <w:r>
        <w:rPr>
          <w:bCs/>
          <w:b/>
        </w:rPr>
        <w:t xml:space="preserve">Acknowledgments:</w:t>
      </w:r>
      <w:r>
        <w:t xml:space="preserve">This presentation was prepared for the Annual Academic Symposium on Legal Studies held in Brisbane, Australia.</w:t>
      </w:r>
    </w:p>
    <w:p>
      <w:pPr>
        <w:pStyle w:val="BodyText"/>
      </w:pPr>
      <w:r>
        <w:t xml:space="preserve">© 2024 Legal Academic Presentation Series. All rights reserved.</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Lawyer in Brisbane</dc:title>
  <dc:creator/>
  <dc:language>en</dc:language>
  <cp:keywords/>
  <dcterms:created xsi:type="dcterms:W3CDTF">2026-07-29T20:28:45Z</dcterms:created>
  <dcterms:modified xsi:type="dcterms:W3CDTF">2026-07-29T20:28:45Z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