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Dhaka,</w:t>
      </w:r>
      <w:r>
        <w:t xml:space="preserve"> </w:t>
      </w:r>
      <w:r>
        <w:t xml:space="preserve">Bangladesh</w:t>
      </w:r>
    </w:p>
    <w:bookmarkStart w:id="20" w:name="Xeade7a2d64a3dcc930d477d0660bf652f91a18f"/>
    <w:p>
      <w:pPr>
        <w:pStyle w:val="Heading1"/>
      </w:pPr>
      <w:r>
        <w:t xml:space="preserve">The Role and Evolution of Lawyers in Dhaka, Bangladesh</w:t>
      </w:r>
    </w:p>
    <w:p>
      <w:pPr>
        <w:pStyle w:val="FirstParagraph"/>
      </w:pPr>
      <w:r>
        <w:t xml:space="preserve">navigating Judicial Complexity, Digital Transformation, and Ethical Challenges in South Asia’s Legal Capital</w:t>
      </w:r>
    </w:p>
    <w:p>
      <w:pPr>
        <w:pStyle w:val="BodyText"/>
      </w:pPr>
      <w:r>
        <w:t xml:space="preserve">Prepared for the International Symposium on Asian Legal Studies</w:t>
      </w:r>
      <w:r>
        <w:br/>
      </w:r>
      <w:r>
        <w:t xml:space="preserve">Focus Region: Dhaka City Corporation &amp; High Court Division Premises</w:t>
      </w:r>
    </w:p>
    <w:bookmarkEnd w:id="20"/>
    <w:bookmarkStart w:id="21" w:name="abstract"/>
    <w:p>
      <w:pPr>
        <w:pStyle w:val="Heading3"/>
      </w:pPr>
      <w:r>
        <w:t xml:space="preserve">Abstract</w:t>
      </w:r>
    </w:p>
    <w:p>
      <w:pPr>
        <w:pStyle w:val="FirstParagraph"/>
      </w:pPr>
      <w:r>
        <w:t xml:space="preserve">This academic poster presentation explores the multifaceted role of the Lawyer within the jurisdiction of Dhaka, Bangladesh. As the capital and economic hub of Bangladesh, Dhaka serves as a microcosm for understanding legal dynamics in developing South Asian nations. This study examines how lawyers in Dhaka act not only as legal representatives but also as critical agents of social change, mediators in high-volume disputes, and pioneers in the adoption of digital jurisprudence. The presentation highlights the unique challenges faced by practitioners operating within the High Court Division located at Sher-e-Bangla Nagar and District Courts across Dhaka South and North zones.</w:t>
      </w:r>
    </w:p>
    <w:bookmarkEnd w:id="21"/>
    <w:bookmarkStart w:id="23" w:name="introduction"/>
    <w:bookmarkStart w:id="22" w:name="X7b73eabe8b64b6985bc544eb9b10d869a13ab7f"/>
    <w:p>
      <w:pPr>
        <w:pStyle w:val="Heading2"/>
      </w:pPr>
      <w:r>
        <w:t xml:space="preserve">1. Introduction: The Legal Landscape of Dhaka</w:t>
      </w:r>
    </w:p>
    <w:p>
      <w:pPr>
        <w:pStyle w:val="FirstParagraph"/>
      </w:pPr>
      <w:r>
        <w:t xml:space="preserve">Dhaka is one of the most densely populated urban centers in the world, and consequently, it hosts a significant portion of Bangladesh’s legal infrastructure. The city is home to the Supreme Court Building complex, which houses both the Appellate Division and the High Court Division. For any academic analysis regarding a Lawyer in this context, one must recognize that Dhaka is not merely a geographic location but a procedural epicenter.</w:t>
      </w:r>
    </w:p>
    <w:p>
      <w:pPr>
        <w:pStyle w:val="BodyText"/>
      </w:pPr>
      <w:r>
        <w:t xml:space="preserve">The role of the Lawyer in Dhaka has evolved significantly since the country’s independence. Initially focused on post-colonial reconstruction and basic civil rights, today’s legal practitioner in Dhaka deals with complex commercial litigation, international arbitration, human rights advocacy, and cyber law. The density of case files in Dhaka courts creates a high-pressure environment where efficiency, strategic networking among the bar association (Dhaka Bar Association), and procedural expertise are paramount.</w:t>
      </w:r>
    </w:p>
    <w:bookmarkEnd w:id="22"/>
    <w:bookmarkEnd w:id="23"/>
    <w:bookmarkStart w:id="25" w:name="context"/>
    <w:bookmarkStart w:id="24" w:name="Xc1584268efe78bc068dd786e2de73bb752f3043"/>
    <w:p>
      <w:pPr>
        <w:pStyle w:val="Heading2"/>
      </w:pPr>
      <w:r>
        <w:t xml:space="preserve">2. Contextual Framework: Challenges in Bangladesh</w:t>
      </w:r>
    </w:p>
    <w:p>
      <w:pPr>
        <w:pStyle w:val="FirstParagraph"/>
      </w:pPr>
      <w:r>
        <w:t xml:space="preserve">The practice of law in Dhaka is characterized by several distinct challenges that define the daily reality for a Lawyer:</w:t>
      </w:r>
    </w:p>
    <w:p>
      <w:pPr>
        <w:numPr>
          <w:ilvl w:val="0"/>
          <w:numId w:val="1001"/>
        </w:numPr>
        <w:pStyle w:val="Compact"/>
      </w:pPr>
      <w:r>
        <w:rPr>
          <w:bCs/>
          <w:b/>
        </w:rPr>
        <w:t xml:space="preserve">Pendancy of Cases:</w:t>
      </w:r>
      <w:r>
        <w:t xml:space="preserve"> </w:t>
      </w:r>
      <w:r>
        <w:t xml:space="preserve">The backlog of cases in Dhaka courts is immense. A Lawyer must often employ alternative dispute resolution (ADR) mechanisms to manage client expectations and reduce court congestion.</w:t>
      </w:r>
    </w:p>
    <w:p>
      <w:pPr>
        <w:numPr>
          <w:ilvl w:val="0"/>
          <w:numId w:val="1001"/>
        </w:numPr>
        <w:pStyle w:val="Compact"/>
      </w:pPr>
      <w:r>
        <w:rPr>
          <w:bCs/>
          <w:b/>
        </w:rPr>
        <w:t xml:space="preserve">Ethical Standards:</w:t>
      </w:r>
      <w:r>
        <w:t xml:space="preserve"> </w:t>
      </w:r>
      <w:r>
        <w:t xml:space="preserve">Maintaining professional ethics amidst political pressures and societal influences is a critical concern for legal professionals in Bangladesh.</w:t>
      </w:r>
    </w:p>
    <w:p>
      <w:pPr>
        <w:numPr>
          <w:ilvl w:val="0"/>
          <w:numId w:val="1001"/>
        </w:numPr>
        <w:pStyle w:val="Compact"/>
      </w:pPr>
      <w:r>
        <w:rPr>
          <w:bCs/>
          <w:b/>
        </w:rPr>
        <w:t xml:space="preserve">Socio-Economic Disparity:</w:t>
      </w:r>
      <w:r>
        <w:t xml:space="preserve"> </w:t>
      </w:r>
      <w:r>
        <w:t xml:space="preserve">Lawyers in Dhaka frequently bridge the gap between wealthy corporate entities and marginalized individuals, requiring a dual competency in corporate law and public interest litigation.</w:t>
      </w:r>
    </w:p>
    <w:bookmarkEnd w:id="24"/>
    <w:bookmarkEnd w:id="25"/>
    <w:bookmarkStart w:id="27" w:name="digital-transformation"/>
    <w:bookmarkStart w:id="26" w:name="X6e38e41c1e59445ec5f805c14f1c59ddec8b871"/>
    <w:p>
      <w:pPr>
        <w:pStyle w:val="Heading2"/>
      </w:pPr>
      <w:r>
        <w:t xml:space="preserve">3. Digital Transformation: The Lawyer in the Modern Era</w:t>
      </w:r>
    </w:p>
    <w:p>
      <w:pPr>
        <w:pStyle w:val="FirstParagraph"/>
      </w:pPr>
      <w:r>
        <w:t xml:space="preserve">A critical aspect of contemporary legal practice in Dhaka is the rapid integration of technology. The Law and Justice Division of Bangladesh has initiated steps toward e-courts, aiming to digitize case management systems.</w:t>
      </w:r>
    </w:p>
    <w:p>
      <w:pPr>
        <w:pStyle w:val="BodyText"/>
      </w:pPr>
      <w:r>
        <w:rPr>
          <w:iCs/>
          <w:i/>
          <w:bCs/>
          <w:b/>
        </w:rPr>
        <w:t xml:space="preserve">Key Observation:</w:t>
      </w:r>
      <w:r>
        <w:t xml:space="preserve"> </w:t>
      </w:r>
      <w:r>
        <w:t xml:space="preserve">Modern Lawyers in Dhaka must be proficient in digital research tools, electronic filing systems, and virtual hearing platforms. This shift is particularly evident since the onset of global health crises, which accelerated the adoption of remote legal consultations and hybrid court proceedings in Bangladesh.</w:t>
      </w:r>
    </w:p>
    <w:p>
      <w:pPr>
        <w:pStyle w:val="BodyText"/>
      </w:pPr>
      <w:r>
        <w:t xml:space="preserve">This technological adaptation requires a retraining of the traditional Lawyer persona. It is no longer sufficient to rely solely on oral advocacy; digital literacy has become a core competency for legal practitioners serving clients in Dhaka’s corporate sector.</w:t>
      </w:r>
    </w:p>
    <w:bookmarkEnd w:id="26"/>
    <w:bookmarkEnd w:id="27"/>
    <w:bookmarkStart w:id="29" w:name="social-role"/>
    <w:bookmarkStart w:id="28" w:name="social-advocacy-and-human-rights"/>
    <w:p>
      <w:pPr>
        <w:pStyle w:val="Heading2"/>
      </w:pPr>
      <w:r>
        <w:t xml:space="preserve">4. Social Advocacy and Human Rights</w:t>
      </w:r>
    </w:p>
    <w:p>
      <w:pPr>
        <w:pStyle w:val="FirstParagraph"/>
      </w:pPr>
      <w:r>
        <w:t xml:space="preserve">Beyond litigation, the Lawyer in Dhaka plays a pivotal role in social advocacy. Organizations such as the Ain o Salish Kendra (ASK) and Bangladesh Legal Aid and Services Trust (BLAST) rely on dedicated lawyers to uphold constitutional rights.</w:t>
      </w:r>
    </w:p>
    <w:p>
      <w:pPr>
        <w:pStyle w:val="BodyText"/>
      </w:pPr>
      <w:r>
        <w:t xml:space="preserve">In Dhaka, lawyers often lead public interest litigations concerning environmental protection (e.g., the Buriganga River conservation cases), women’s rights, and labor laws in the garment industry. The Lawyer here acts as a watchdog for democratic institutions and a voice for the voiceless, reflecting the broader responsibility of legal professionals in transitioning democracies.</w:t>
      </w:r>
    </w:p>
    <w:bookmarkEnd w:id="28"/>
    <w:bookmarkEnd w:id="29"/>
    <w:bookmarkStart w:id="31" w:name="recommendations"/>
    <w:bookmarkStart w:id="30" w:name="recommendations-for-legal-reform"/>
    <w:p>
      <w:pPr>
        <w:pStyle w:val="Heading2"/>
      </w:pPr>
      <w:r>
        <w:t xml:space="preserve">5. Recommendations for Legal Reform</w:t>
      </w:r>
    </w:p>
    <w:p>
      <w:pPr>
        <w:pStyle w:val="FirstParagraph"/>
      </w:pPr>
      <w:r>
        <w:t xml:space="preserve">To enhance the efficacy of legal services in Bangladesh, specifically within Dhaka, this presentation proposes the following:</w:t>
      </w:r>
    </w:p>
    <w:p>
      <w:pPr>
        <w:numPr>
          <w:ilvl w:val="0"/>
          <w:numId w:val="1002"/>
        </w:numPr>
        <w:pStyle w:val="Compact"/>
      </w:pPr>
      <w:r>
        <w:rPr>
          <w:bCs/>
          <w:b/>
        </w:rPr>
        <w:t xml:space="preserve">Mandatory Continuing Legal Education (CLE):</w:t>
      </w:r>
      <w:r>
        <w:t xml:space="preserve"> </w:t>
      </w:r>
      <w:r>
        <w:t xml:space="preserve">Implementing regular training programs for Lawyers on new laws, digital tools, and ethical standards.</w:t>
      </w:r>
    </w:p>
    <w:p>
      <w:pPr>
        <w:numPr>
          <w:ilvl w:val="0"/>
          <w:numId w:val="1002"/>
        </w:numPr>
        <w:pStyle w:val="Compact"/>
      </w:pPr>
      <w:r>
        <w:rPr>
          <w:bCs/>
          <w:b/>
        </w:rPr>
        <w:t xml:space="preserve">Strengthening ADR Mechanisms:</w:t>
      </w:r>
      <w:r>
        <w:t xml:space="preserve"> </w:t>
      </w:r>
      <w:r>
        <w:t xml:space="preserve">Encouraging more widespread use of arbitration and mediation centers in Dhaka to decongest courts.</w:t>
      </w:r>
    </w:p>
    <w:p>
      <w:pPr>
        <w:numPr>
          <w:ilvl w:val="0"/>
          <w:numId w:val="1002"/>
        </w:numPr>
        <w:pStyle w:val="Compact"/>
      </w:pPr>
      <w:r>
        <w:rPr>
          <w:bCs/>
          <w:b/>
        </w:rPr>
        <w:t xml:space="preserve">Simplified Legal Language:</w:t>
      </w:r>
      <w:r>
        <w:t xml:space="preserve"> </w:t>
      </w:r>
      <w:r>
        <w:t xml:space="preserve">Lawyers should advocate for the simplification of legal terminology to improve public understanding of justice delivery systems.</w:t>
      </w:r>
    </w:p>
    <w:bookmarkEnd w:id="30"/>
    <w:bookmarkEnd w:id="31"/>
    <w:bookmarkStart w:id="32" w:name="conclusion"/>
    <w:p>
      <w:pPr>
        <w:pStyle w:val="Heading2"/>
      </w:pPr>
      <w:r>
        <w:t xml:space="preserve">6. Conclusion</w:t>
      </w:r>
    </w:p>
    <w:p>
      <w:pPr>
        <w:pStyle w:val="FirstParagraph"/>
      </w:pPr>
      <w:r>
        <w:t xml:space="preserve">The Lawyer in Dhaka, Bangladesh, operates at the intersection of tradition and modernity. They are guardians of legal precedent while simultaneously driving innovation in judicial processes. As Dhaka continues to grow as an economic hub, the demand for competent, ethical, and technologically adept lawyers will rise. This poster presentation underscores that the future of justice in South Asia depends heavily on how effectively legal professionals in Dhaka can adapt to global standards while addressing local socio-legal realities.</w:t>
      </w:r>
    </w:p>
    <w:bookmarkEnd w:id="32"/>
    <w:p>
      <w:pPr>
        <w:pStyle w:val="BodyText"/>
      </w:pPr>
      <w:r>
        <w:rPr>
          <w:bCs/>
          <w:b/>
        </w:rPr>
        <w:t xml:space="preserve">Contact Information:</w:t>
      </w:r>
      <w:r>
        <w:br/>
      </w:r>
      <w:r>
        <w:t xml:space="preserve">Department of Law and Justice Studies</w:t>
      </w:r>
      <w:r>
        <w:br/>
      </w:r>
      <w:r>
        <w:t xml:space="preserve">Reference Region: Dhaka, Bangladesh</w:t>
      </w:r>
      <w:r>
        <w:br/>
      </w:r>
      <w:r>
        <w:br/>
      </w:r>
      <w:r>
        <w:rPr>
          <w:iCs/>
          <w:i/>
        </w:rPr>
        <w:t xml:space="preserve">This document is formatted as an Academic Poster Presentation for distribution in South Asian legal forums.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and Evolution of Lawyers in Dhaka, Bangladesh</dc:title>
  <dc:creator/>
  <dc:language>en</dc:language>
  <cp:keywords/>
  <dcterms:created xsi:type="dcterms:W3CDTF">2026-07-29T21:10:10Z</dcterms:created>
  <dcterms:modified xsi:type="dcterms:W3CDTF">2026-07-29T21:10:10Z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