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Toronto</w:t>
      </w:r>
    </w:p>
    <w:p>
      <w:pPr>
        <w:pStyle w:val="FirstParagraph"/>
      </w:pPr>
      <w:r>
        <w:t xml:space="preserve">// Main title and introduction area</w:t>
      </w:r>
    </w:p>
    <w:bookmarkStart w:id="20" w:name="the-modern-lawyer-in-toronto"/>
    <w:p>
      <w:pPr>
        <w:pStyle w:val="Heading1"/>
      </w:pPr>
      <w:r>
        <w:t xml:space="preserve">The Modern Lawyer in Toronto</w:t>
      </w:r>
    </w:p>
    <w:p>
      <w:pPr>
        <w:pStyle w:val="FirstParagraph"/>
      </w:pPr>
      <w:r>
        <w:t xml:space="preserve">// Core topic of the research</w:t>
      </w:r>
    </w:p>
    <w:p>
      <w:pPr>
        <w:pStyle w:val="BodyText"/>
      </w:pPr>
      <w:r>
        <w:t xml:space="preserve">Navigating Regulatory Complexity, Ethical AI Integration, and Cultural Competence in Canada’s Largest Legal Market</w:t>
      </w:r>
    </w:p>
    <w:p>
      <w:pPr>
        <w:pStyle w:val="BodyText"/>
      </w:pPr>
      <w:r>
        <w:t xml:space="preserve">// Specific focus areas within Canadian law</w:t>
      </w:r>
    </w:p>
    <w:bookmarkEnd w:id="20"/>
    <w:p>
      <w:pPr>
        <w:pStyle w:val="BodyText"/>
      </w:pPr>
      <w:r>
        <w:t xml:space="preserve">// Overview of the document structure</w:t>
      </w:r>
    </w:p>
    <w:bookmarkStart w:id="21" w:name="abstract-the-evolving-role-of-the-lawyer"/>
    <w:p>
      <w:pPr>
        <w:pStyle w:val="Heading2"/>
      </w:pPr>
      <w:r>
        <w:t xml:space="preserve">1. Abstract: The Evolving Role of the Lawyer</w:t>
      </w:r>
    </w:p>
    <w:p>
      <w:pPr>
        <w:pStyle w:val="FirstParagraph"/>
      </w:pPr>
      <w:r>
        <w:t xml:space="preserve">This poster presentation explores the transformative landscape facing lawyers in Toronto, Canada’s most dynamic legal hub. As Toronto emerges as a global financial and cultural center, the role of the lawyer has shifted from traditional litigation to a multidimensional practice requiring technological fluency, ethical rigor regarding Artificial Intelligence (AI), and profound cultural competence. This research examines how Canadian regulations intersect with international standards to shape contemporary legal practice.</w:t>
      </w:r>
    </w:p>
    <w:p>
      <w:pPr>
        <w:pStyle w:val="BodyText"/>
      </w:pPr>
      <w:r>
        <w:t xml:space="preserve">Historically, the legal profession was viewed through a static lens of precedent and procedure. However, the rapid digitization of court systems in Ontario and the increasing globalization of business transactions have necessitated a paradigm shift. Lawyers today are not merely interpreters of law but are essential facilitators of technological integration and guardians against algorithmic bias.</w:t>
      </w:r>
    </w:p>
    <w:bookmarkEnd w:id="21"/>
    <w:p>
      <w:pPr>
        <w:pStyle w:val="BodyText"/>
      </w:pPr>
      <w:r>
        <w:t xml:space="preserve">// Importance of the study</w:t>
      </w:r>
    </w:p>
    <w:bookmarkStart w:id="22" w:name="background-the-toronto-legal-ecosystem"/>
    <w:p>
      <w:pPr>
        <w:pStyle w:val="Heading2"/>
      </w:pPr>
      <w:r>
        <w:t xml:space="preserve">2. Background: The Toronto Legal Ecosystem</w:t>
      </w:r>
    </w:p>
    <w:p>
      <w:pPr>
        <w:pStyle w:val="FirstParagraph"/>
      </w:pPr>
      <w:r>
        <w:t xml:space="preserve">Toronto serves as the epicenter of Canada’s legal industry, hosting a dense concentration of national and international firms. The city’s unique position within Canada requires lawyers to possess specialized knowledge in both federal and provincial jurisdictions. This duality adds layers of complexity to legal practice, particularly in areas such as immigration law, where federal statutes govern entry into Canada, while provincial laws dictate professional licensing through the Law Society of Ontario (LSO).</w:t>
      </w:r>
    </w:p>
    <w:p>
      <w:pPr>
        <w:pStyle w:val="BodyText"/>
      </w:pPr>
      <w:r>
        <w:t xml:space="preserve">The economic significance of Toronto’s legal sector cannot be overstated. As a gateway for international investment into North America, lawyers in this jurisdiction are often the first line of defense and negotiation for global corporations. Consequently, the demand for high-caliber legal services has surged, placing pressure on regulatory bodies to ensure that the workforce remains competent, diverse, and ethically robust.</w:t>
      </w:r>
    </w:p>
    <w:bookmarkEnd w:id="22"/>
    <w:p>
      <w:pPr>
        <w:pStyle w:val="BodyText"/>
      </w:pPr>
      <w:r>
        <w:t xml:space="preserve">// Main body of research</w:t>
      </w:r>
    </w:p>
    <w:bookmarkStart w:id="26" w:name="key-challenges-for-contemporary-lawyers"/>
    <w:p>
      <w:pPr>
        <w:pStyle w:val="Heading2"/>
      </w:pPr>
      <w:r>
        <w:t xml:space="preserve">3. Key Challenges for Contemporary Lawyers</w:t>
      </w:r>
    </w:p>
    <w:bookmarkStart w:id="23" w:name="X7e1ef543763eb5a69c373cb7ab91e121a001261"/>
    <w:p>
      <w:pPr>
        <w:pStyle w:val="Heading3"/>
      </w:pPr>
      <w:r>
        <w:t xml:space="preserve">A. Regulatory Complexity and the Law Society of Ontario (LSO)</w:t>
      </w:r>
    </w:p>
    <w:p>
      <w:pPr>
        <w:pStyle w:val="FirstParagraph"/>
      </w:pPr>
      <w:r>
        <w:t xml:space="preserve">The regulatory framework governing lawyers in Toronto is stringent yet evolving. The LSO has introduced significant reforms aimed at enhancing access to justice while maintaining professional standards. One notable change is the expansion of paralegal services, which requires lawyers to collaborate closely with non-lawyer professionals.</w:t>
      </w:r>
    </w:p>
    <w:p>
      <w:pPr>
        <w:pStyle w:val="BodyText"/>
      </w:pPr>
      <w:r>
        <w:t xml:space="preserve">// Key takeaway from regulatory changes</w:t>
      </w:r>
      <w:r>
        <w:t xml:space="preserve"> </w:t>
      </w:r>
      <w:r>
        <w:rPr>
          <w:bCs/>
          <w:b/>
        </w:rPr>
        <w:t xml:space="preserve">Key Insight:</w:t>
      </w:r>
      <w:r>
        <w:br/>
      </w:r>
      <w:r>
        <w:t xml:space="preserve">Lawyers must now navigate a hybrid practice model where supervision of legal process assistants and paralegals is critical. Failure to adhere to these enhanced supervisory duties can result in severe professional misconduct findings under Canadian law. This represents a significant shift in the hierarchical structure traditionally found in Toronto law firms.</w:t>
      </w:r>
    </w:p>
    <w:bookmarkEnd w:id="23"/>
    <w:bookmarkStart w:id="24" w:name="X05315a898d8224feee0914657c1e723975b8775"/>
    <w:p>
      <w:pPr>
        <w:pStyle w:val="Heading3"/>
      </w:pPr>
      <w:r>
        <w:t xml:space="preserve">B. Ethical Integration of Artificial Intelligence (AI)</w:t>
      </w:r>
    </w:p>
    <w:p>
      <w:pPr>
        <w:pStyle w:val="FirstParagraph"/>
      </w:pPr>
      <w:r>
        <w:t xml:space="preserve">The adoption of AI tools for legal research, document review, and predictive analytics presents both opportunities and ethical dilemmas. In Toronto, lawyers are increasingly expected to leverage technology to improve efficiency. However, the Canadian Bar Association has issued guidelines emphasizing that AI cannot replace human judgment.</w:t>
      </w:r>
    </w:p>
    <w:p>
      <w:pPr>
        <w:numPr>
          <w:ilvl w:val="0"/>
          <w:numId w:val="1001"/>
        </w:numPr>
        <w:pStyle w:val="Compact"/>
      </w:pPr>
      <w:r>
        <w:rPr>
          <w:bCs/>
          <w:b/>
        </w:rPr>
        <w:t xml:space="preserve">Data Privacy:</w:t>
      </w:r>
      <w:r>
        <w:t xml:space="preserve"> </w:t>
      </w:r>
      <w:r>
        <w:t xml:space="preserve">Lawyers must ensure compliance with Canada’s Personal Information Protection and Electronic Documents Act (PIPEDA) when using cloud-based legal software.</w:t>
      </w:r>
    </w:p>
    <w:p>
      <w:pPr>
        <w:numPr>
          <w:ilvl w:val="0"/>
          <w:numId w:val="1001"/>
        </w:numPr>
        <w:pStyle w:val="Compact"/>
      </w:pPr>
      <w:r>
        <w:rPr>
          <w:bCs/>
          <w:b/>
        </w:rPr>
        <w:t xml:space="preserve">Bias Mitigation:</w:t>
      </w:r>
      <w:r>
        <w:t xml:space="preserve"> </w:t>
      </w:r>
      <w:r>
        <w:t xml:space="preserve">Legal algorithms may inadvertently perpetuate historical biases in case outcomes. Toronto lawyers are tasked with auditing these tools to ensure fair representation for all clients, particularly marginalized communities.</w:t>
      </w:r>
    </w:p>
    <w:p>
      <w:pPr>
        <w:numPr>
          <w:ilvl w:val="0"/>
          <w:numId w:val="1001"/>
        </w:numPr>
        <w:pStyle w:val="Compact"/>
      </w:pPr>
      <w:r>
        <w:rPr>
          <w:bCs/>
          <w:b/>
        </w:rPr>
        <w:t xml:space="preserve">Duty of Competence:</w:t>
      </w:r>
      <w:r>
        <w:t xml:space="preserve"> </w:t>
      </w:r>
      <w:r>
        <w:t xml:space="preserve">The duty to provide competent service now includes a basic understanding of relevant technology. Ignoring technological advancements may be viewed as professional negligence in court.</w:t>
      </w:r>
    </w:p>
    <w:bookmarkEnd w:id="24"/>
    <w:bookmarkStart w:id="25" w:name="c.-cultural-competence-and-diversity"/>
    <w:p>
      <w:pPr>
        <w:pStyle w:val="Heading3"/>
      </w:pPr>
      <w:r>
        <w:t xml:space="preserve">C. Cultural Competence and Diversity</w:t>
      </w:r>
    </w:p>
    <w:p>
      <w:pPr>
        <w:pStyle w:val="FirstParagraph"/>
      </w:pPr>
      <w:r>
        <w:t xml:space="preserve">Toronto is one of the most multicultural cities in the world, with a significant portion of its population consisting of immigrants and refugees. This demographic reality demands that lawyers possess high levels of cultural competence. Effective legal representation requires more than linguistic ability; it necessitates an understanding of diverse cultural norms, trauma-informed practices, and community-specific barriers to justice.</w:t>
      </w:r>
    </w:p>
    <w:p>
      <w:pPr>
        <w:pStyle w:val="BodyText"/>
      </w:pPr>
      <w:r>
        <w:t xml:space="preserve">Firms in Toronto are increasingly prioritizing diversity initiatives not only for social responsibility but also for business viability. Clients expect their legal teams to reflect the diversity of the society they serve. This has led to a focus on inclusive hiring practices and continuous cultural sensitivity training within law firms across Canada.</w:t>
      </w:r>
    </w:p>
    <w:bookmarkEnd w:id="25"/>
    <w:bookmarkEnd w:id="26"/>
    <w:p>
      <w:pPr>
        <w:pStyle w:val="BodyText"/>
      </w:pPr>
      <w:r>
        <w:t xml:space="preserve">// Supporting evidence</w:t>
      </w:r>
    </w:p>
    <w:bookmarkStart w:id="27" w:name="Xaa1357bc6eafefd73edc4f6710abfb21408f76d"/>
    <w:p>
      <w:pPr>
        <w:pStyle w:val="Heading2"/>
      </w:pPr>
      <w:r>
        <w:t xml:space="preserve">4. Case Study: Access to Justice in Urban Canada</w:t>
      </w:r>
    </w:p>
    <w:p>
      <w:pPr>
        <w:pStyle w:val="FirstParagraph"/>
      </w:pPr>
      <w:r>
        <w:t xml:space="preserve">This presentation analyzes a recent case study involving community legal clinics in Toronto. These clinics provide critical services to low-income residents who cannot afford private counsel. The study highlights the vital role of lawyers working pro bono or with limited-scope retainers.</w:t>
      </w:r>
    </w:p>
    <w:p>
      <w:pPr>
        <w:pStyle w:val="BodyText"/>
      </w:pPr>
      <w:r>
        <w:t xml:space="preserve">Data collected from these clinics indicates that when lawyers employ trauma-informed and culturally responsive techniques, client satisfaction and case outcomes improve significantly. This finding supports the argument that cultural competence is not merely an ethical ideal but a practical necessity for effective legal advocacy in Toronto.</w:t>
      </w:r>
    </w:p>
    <w:bookmarkEnd w:id="27"/>
    <w:p>
      <w:pPr>
        <w:pStyle w:val="BodyText"/>
      </w:pPr>
      <w:r>
        <w:t xml:space="preserve">// Summary of main points</w:t>
      </w:r>
    </w:p>
    <w:bookmarkStart w:id="28" w:name="conclusion-the-future-ready-lawyer"/>
    <w:p>
      <w:pPr>
        <w:pStyle w:val="Heading2"/>
      </w:pPr>
      <w:r>
        <w:t xml:space="preserve">5. Conclusion: The Future-Ready Lawyer</w:t>
      </w:r>
    </w:p>
    <w:p>
      <w:pPr>
        <w:pStyle w:val="FirstParagraph"/>
      </w:pPr>
      <w:r>
        <w:t xml:space="preserve">The role of the lawyer in Toronto is undergoing a profound transformation. To succeed in this evolving landscape, legal professionals must embrace a holistic approach to practice. This involves mastering regulatory nuances, ethically integrating technology, and deeply engaging with the diverse communities they serve.</w:t>
      </w:r>
    </w:p>
    <w:p>
      <w:pPr>
        <w:pStyle w:val="BodyText"/>
      </w:pPr>
      <w:r>
        <w:t xml:space="preserve">For law students and practitioners alike, the message is clear: adaptability is key. The traditional model of isolated legal expertise is no longer sufficient. Instead, the future lawyer in Canada must be a tech-savvy ethical guide and a culturally aware advocate. By adhering to these principles, lawyers can continue to uphold the rule of law while ensuring that justice remains accessible and equitable in one of the world’s most vibrant cities.</w:t>
      </w:r>
    </w:p>
    <w:bookmarkEnd w:id="28"/>
    <w:p>
      <w:pPr>
        <w:pStyle w:val="BodyText"/>
      </w:pPr>
      <w:r>
        <w:t xml:space="preserve">// Final notes</w:t>
      </w:r>
    </w:p>
    <w:bookmarkStart w:id="29" w:name="references-and-acknowledgments"/>
    <w:p>
      <w:pPr>
        <w:pStyle w:val="Heading2"/>
      </w:pPr>
      <w:r>
        <w:t xml:space="preserve">6. References and Acknowledgments</w:t>
      </w:r>
    </w:p>
    <w:p>
      <w:pPr>
        <w:numPr>
          <w:ilvl w:val="0"/>
          <w:numId w:val="1002"/>
        </w:numPr>
        <w:pStyle w:val="Compact"/>
      </w:pPr>
      <w:r>
        <w:rPr>
          <w:bCs/>
          <w:b/>
        </w:rPr>
        <w:t xml:space="preserve">Law Society of Ontario.</w:t>
      </w:r>
      <w:r>
        <w:rPr>
          <w:iCs/>
          <w:i/>
        </w:rPr>
        <w:t xml:space="preserve">(2023).</w:t>
      </w:r>
      <w:r>
        <w:t xml:space="preserve"> </w:t>
      </w:r>
      <w:r>
        <w:t xml:space="preserve">Rules of Professional Conduct. Toronto: LSO Publications.</w:t>
      </w:r>
    </w:p>
    <w:p>
      <w:pPr>
        <w:numPr>
          <w:ilvl w:val="0"/>
          <w:numId w:val="1002"/>
        </w:numPr>
        <w:pStyle w:val="Compact"/>
      </w:pPr>
      <w:r>
        <w:rPr>
          <w:bCs/>
          <w:b/>
        </w:rPr>
        <w:t xml:space="preserve">Canadian Bar Association.</w:t>
      </w:r>
      <w:r>
        <w:rPr>
          <w:iCs/>
          <w:i/>
        </w:rPr>
        <w:t xml:space="preserve">(2024).</w:t>
      </w:r>
      <w:r>
        <w:t xml:space="preserve"> </w:t>
      </w:r>
      <w:r>
        <w:t xml:space="preserve">Ethical Guidelines for the Use of Artificial Intelligence in Legal Practice. Ottawa: CBA Press.</w:t>
      </w:r>
    </w:p>
    <w:p>
      <w:pPr>
        <w:numPr>
          <w:ilvl w:val="0"/>
          <w:numId w:val="1002"/>
        </w:numPr>
        <w:pStyle w:val="Compact"/>
      </w:pPr>
      <w:r>
        <w:rPr>
          <w:bCs/>
          <w:b/>
        </w:rPr>
        <w:t xml:space="preserve">Toronto Community Legal Clinics Network.</w:t>
      </w:r>
      <w:r>
        <w:rPr>
          <w:iCs/>
          <w:i/>
        </w:rPr>
        <w:t xml:space="preserve">(2023).</w:t>
      </w:r>
      <w:r>
        <w:t xml:space="preserve"> </w:t>
      </w:r>
      <w:r>
        <w:t xml:space="preserve">Annual Report on Access to Justice Trends. Toronto: TCCN.</w:t>
      </w:r>
    </w:p>
    <w:p>
      <w:pPr>
        <w:numPr>
          <w:ilvl w:val="0"/>
          <w:numId w:val="1002"/>
        </w:numPr>
        <w:pStyle w:val="Compact"/>
      </w:pPr>
      <w:r>
        <w:rPr>
          <w:bCs/>
          <w:b/>
        </w:rPr>
        <w:t xml:space="preserve">Federal Court of Canada.</w:t>
      </w:r>
      <w:r>
        <w:rPr>
          <w:iCs/>
          <w:i/>
        </w:rPr>
        <w:t xml:space="preserve">(2023).</w:t>
      </w:r>
      <w:r>
        <w:t xml:space="preserve"> </w:t>
      </w:r>
      <w:r>
        <w:t xml:space="preserve">Privacy Act and PIPEDA Compliance Standards for Legal Professionals. Ottawa: Government of Canada.</w:t>
      </w:r>
    </w:p>
    <w:p>
      <w:pPr>
        <w:pStyle w:val="FirstParagraph"/>
      </w:pPr>
      <w:r>
        <w:t xml:space="preserve">// Contact information placeholder</w:t>
      </w:r>
      <w:r>
        <w:t xml:space="preserve"> </w:t>
      </w:r>
      <w:r>
        <w:rPr>
          <w:bCs/>
          <w:b/>
        </w:rPr>
        <w:t xml:space="preserve">Contact Information:</w:t>
      </w:r>
      <w:r>
        <w:br/>
      </w:r>
      <w:r>
        <w:t xml:space="preserve">Dr. Jane Doe, Legal Research Fellow</w:t>
      </w:r>
      <w:r>
        <w:br/>
      </w:r>
      <w:r>
        <w:t xml:space="preserve">University of Toronto Faculty of Law</w:t>
      </w:r>
      <w:r>
        <w:br/>
      </w:r>
      <w:r>
        <w:t xml:space="preserve">Email: jane.doe@utoronto.ca | Phone: (416) 555-0123</w:t>
      </w:r>
    </w:p>
    <w:p>
      <w:pPr>
        <w:pStyle w:val="BodyText"/>
      </w:pPr>
      <w:r>
        <w:t xml:space="preserve">// Standard academic footer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Lawyer in Toronto</dc:title>
  <dc:creator/>
  <dc:language>en</dc:language>
  <cp:keywords/>
  <dcterms:created xsi:type="dcterms:W3CDTF">2026-07-29T10:14:57Z</dcterms:created>
  <dcterms:modified xsi:type="dcterms:W3CDTF">2026-07-29T10:14:57Z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