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British</w:t>
      </w:r>
      <w:r>
        <w:t xml:space="preserve"> </w:t>
      </w:r>
      <w:r>
        <w:t xml:space="preserve">Columbia</w:t>
      </w:r>
    </w:p>
    <w:p>
      <w:pPr>
        <w:pStyle w:val="FirstParagraph"/>
      </w:pPr>
      <w:r>
        <w:t xml:space="preserve">/* Title and Author Information Area */ /* Academic Poster Header Layout */ /* Professional Presentation Start */</w:t>
      </w:r>
    </w:p>
    <w:bookmarkStart w:id="27" w:name="X61c268de466f657222127a8212a7b0031e0c4c8"/>
    <w:p>
      <w:pPr>
        <w:pStyle w:val="Heading1"/>
      </w:pPr>
      <w:r>
        <w:t xml:space="preserve">The Modern Legal Practitioner: Navigating Complexity in the Vancouver Jurisdiction</w:t>
      </w:r>
    </w:p>
    <w:p>
      <w:pPr>
        <w:pStyle w:val="FirstParagraph"/>
      </w:pPr>
      <w:r>
        <w:rPr>
          <w:bCs/>
          <w:b/>
        </w:rPr>
        <w:t xml:space="preserve">Presenter:</w:t>
      </w:r>
      <w:r>
        <w:t xml:space="preserve"> </w:t>
      </w:r>
      <w:r>
        <w:t xml:space="preserve">[Your Name/Title]</w:t>
      </w:r>
    </w:p>
    <w:p>
      <w:pPr>
        <w:pStyle w:val="BodyText"/>
      </w:pPr>
      <w:r>
        <w:t xml:space="preserve">/* Placeholder for Presenter Info */ /* Author Details Section */ /* Identification Block */</w:t>
      </w:r>
    </w:p>
    <w:p>
      <w:pPr>
        <w:pStyle w:val="BodyText"/>
      </w:pPr>
      <w:r>
        <w:rPr>
          <w:iCs/>
          <w:i/>
        </w:rPr>
        <w:t xml:space="preserve">Affiliation:</w:t>
      </w:r>
      <w:r>
        <w:t xml:space="preserve">[Institution/Firm Name], Vancouver, British Columbia</w:t>
      </w:r>
    </w:p>
    <w:p>
      <w:pPr>
        <w:pStyle w:val="BodyText"/>
      </w:pPr>
      <w:r>
        <w:t xml:space="preserve">/* Organization Contextualization */ /* Location Specific Attribution */</w:t>
      </w:r>
    </w:p>
    <w:p>
      <w:pPr>
        <w:pStyle w:val="BodyText"/>
      </w:pPr>
      <w:r>
        <w:rPr>
          <w:bCs/>
          <w:b/>
        </w:rPr>
        <w:t xml:space="preserve">Date:</w:t>
      </w:r>
      <w:r>
        <w:t xml:space="preserve"> </w:t>
      </w:r>
      <w:r>
        <w:t xml:space="preserve">[Current Date]</w:t>
      </w:r>
    </w:p>
    <w:p>
      <w:pPr>
        <w:pStyle w:val="BodyText"/>
      </w:pPr>
      <w:r>
        <w:t xml:space="preserve">/* Contextual Framework and Problem Statement */</w:t>
      </w:r>
    </w:p>
    <w:bookmarkStart w:id="20" w:name="Xf059d969850ab037da8efb8328cd518cb9b438b"/>
    <w:p>
      <w:pPr>
        <w:pStyle w:val="Heading2"/>
      </w:pPr>
      <w:r>
        <w:t xml:space="preserve">1. Introduction: The Lawyer in Contemporary Canada</w:t>
      </w:r>
    </w:p>
    <w:p>
      <w:pPr>
        <w:pStyle w:val="FirstParagraph"/>
      </w:pPr>
      <w:r>
        <w:t xml:space="preserve">/* Primary Section Header */ /* Main Topic Indicator */ /* Structural Anchor Point 1*/</w:t>
      </w:r>
    </w:p>
    <w:p>
      <w:pPr>
        <w:pStyle w:val="BodyText"/>
      </w:pPr>
      <w:r>
        <w:t xml:space="preserve">The role of the</w:t>
      </w:r>
      <w:r>
        <w:t xml:space="preserve"> </w:t>
      </w:r>
      <w:r>
        <w:rPr>
          <w:bCs/>
          <w:b/>
        </w:rPr>
        <w:t xml:space="preserve">Lawyer</w:t>
      </w:r>
      <w:r>
        <w:t xml:space="preserve"> </w:t>
      </w:r>
      <w:r>
        <w:t xml:space="preserve">in modern society has transcended traditional litigation and transactional advice. In an era characterized by rapid technological advancement, evolving social norms, and complex regulatory frameworks, legal professionals must adapt to remain effective advocates for justice. This poster presentation focuses on the specific nuances of practicing law within</w:t>
      </w:r>
      <w:r>
        <w:t xml:space="preserve"> </w:t>
      </w:r>
      <w:r>
        <w:rPr>
          <w:bCs/>
          <w:b/>
        </w:rPr>
        <w:t xml:space="preserve">Canada Vancouver</w:t>
      </w:r>
      <w:r>
        <w:t xml:space="preserve">, a hub of international business, indigenous reconciliation efforts, and environmental innovation.</w:t>
      </w:r>
    </w:p>
    <w:p>
      <w:pPr>
        <w:pStyle w:val="BodyText"/>
      </w:pPr>
      <w:r>
        <w:t xml:space="preserve">Vancouver, situated in British Columbia, represents a unique legal landscape. It is not merely a city but a gateway between Asia and North America, necessitating lawyers who possess cross-cultural competence alongside rigorous statutory knowledge. The following sections outline the critical areas where lawyers must focus their efforts to serve clients effectively in this dynamic region.</w:t>
      </w:r>
    </w:p>
    <w:p>
      <w:pPr>
        <w:pStyle w:val="BodyText"/>
      </w:pPr>
      <w:r>
        <w:t xml:space="preserve">/* Informational Highlight Box */ /* Key Takeaway Summary */ *//* Critical Insight Callout */</w:t>
      </w:r>
    </w:p>
    <w:p>
      <w:pPr>
        <w:pStyle w:val="BodyText"/>
      </w:pPr>
      <w:r>
        <w:t xml:space="preserve">Key Insight:</w:t>
      </w:r>
      <w:r>
        <w:t xml:space="preserve"> </w:t>
      </w:r>
      <w:r>
        <w:t xml:space="preserve">The definition of a successful lawyer in Vancouver is no longer confined to courtroom prowess but includes emotional intelligence, technological literacy, and cultural competency.</w:t>
      </w:r>
    </w:p>
    <w:p>
      <w:pPr>
        <w:pStyle w:val="BodyText"/>
      </w:pPr>
      <w:r>
        <w:t xml:space="preserve">/* Thematic Focus Area 2 */ /* Jurisprudential Priority */</w:t>
      </w:r>
    </w:p>
    <w:bookmarkEnd w:id="20"/>
    <w:bookmarkStart w:id="22" w:name="Xa9c26ef1c3201cc5d6c9785cc276da24fe04e50"/>
    <w:p>
      <w:pPr>
        <w:pStyle w:val="Heading2"/>
      </w:pPr>
      <w:r>
        <w:t xml:space="preserve">2. Indigenous Law and the Duty of Reconciliation</w:t>
      </w:r>
    </w:p>
    <w:p>
      <w:pPr>
        <w:pStyle w:val="FirstParagraph"/>
      </w:pPr>
      <w:r>
        <w:t xml:space="preserve">A defining characteristic of the legal environment in</w:t>
      </w:r>
      <w:r>
        <w:t xml:space="preserve"> </w:t>
      </w:r>
      <w:r>
        <w:rPr>
          <w:bCs/>
          <w:b/>
        </w:rPr>
        <w:t xml:space="preserve">Canada Vancouver</w:t>
      </w:r>
      <w:r>
        <w:t xml:space="preserve"> </w:t>
      </w:r>
      <w:r>
        <w:t xml:space="preserve">is the profound impact of Indigenous rights and title claims. Section 35 of the Constitution Act, 1982, recognizes and affirms existing Aboriginal and Treaty rights. For lawyers practicing in this region, understanding these principles is not optional; it is foundational.</w:t>
      </w:r>
    </w:p>
    <w:bookmarkStart w:id="21" w:name="key-aspects-for-legal-practitioners"/>
    <w:p>
      <w:pPr>
        <w:pStyle w:val="Heading3"/>
      </w:pPr>
      <w:r>
        <w:t xml:space="preserve">Key Aspects for Legal Practitioners:</w:t>
      </w:r>
    </w:p>
    <w:p>
      <w:pPr>
        <w:pStyle w:val="FirstParagraph"/>
      </w:pPr>
      <w:r>
        <w:rPr>
          <w:bCs/>
          <w:b/>
        </w:rPr>
        <w:t xml:space="preserve">Treaty Interpretation:</w:t>
      </w:r>
      <w:r>
        <w:t xml:space="preserve"> </w:t>
      </w:r>
      <w:r>
        <w:t xml:space="preserve">With the Tsawwassen First Nation Treaty and ongoing negotiations for other groups, lawyers must be adept at interpreting modern treaties that blend common law principles with Indigenous governance structures.</w:t>
      </w:r>
    </w:p>
    <w:p>
      <w:pPr>
        <w:pStyle w:val="BodyText"/>
      </w:pPr>
      <w:r>
        <w:t xml:space="preserve">/* Thematic Focus Area 3 */ // Technological Disruption in Law*</w:t>
      </w:r>
    </w:p>
    <w:bookmarkEnd w:id="21"/>
    <w:bookmarkEnd w:id="22"/>
    <w:bookmarkStart w:id="23" w:name="technology-ai-and-access-to-justice"/>
    <w:p>
      <w:pPr>
        <w:pStyle w:val="Heading2"/>
      </w:pPr>
      <w:r>
        <w:t xml:space="preserve">3. Technology, AI, and Access to Justice</w:t>
      </w:r>
    </w:p>
    <w:p>
      <w:pPr>
        <w:pStyle w:val="FirstParagraph"/>
      </w:pPr>
      <w:r>
        <w:t xml:space="preserve">/* Thematic Focus Area 4 *//* Ecological Legal Frameworks*</w:t>
      </w:r>
    </w:p>
    <w:bookmarkEnd w:id="23"/>
    <w:bookmarkStart w:id="24" w:name="X5669cced5c7a7889d0e1485c350fe34ebf1af1a"/>
    <w:p>
      <w:pPr>
        <w:pStyle w:val="Heading2"/>
      </w:pPr>
      <w:r>
        <w:t xml:space="preserve">4. Environmental Law and Sustainable Development</w:t>
      </w:r>
    </w:p>
    <w:p>
      <w:pPr>
        <w:pStyle w:val="FirstParagraph"/>
      </w:pPr>
      <w:r>
        <w:t xml:space="preserve">/* Synthesis and Final Thoughts */</w:t>
      </w:r>
    </w:p>
    <w:bookmarkEnd w:id="24"/>
    <w:bookmarkStart w:id="26" w:name="conclusion-the-holistic-lawyer"/>
    <w:p>
      <w:pPr>
        <w:pStyle w:val="Heading2"/>
      </w:pPr>
      <w:r>
        <w:t xml:space="preserve">5. Conclusion: The Holistic Lawyer</w:t>
      </w:r>
    </w:p>
    <w:p>
      <w:pPr>
        <w:pStyle w:val="FirstParagraph"/>
      </w:pPr>
      <w:r>
        <w:t xml:space="preserve">The future of the legal profession in this region lies not just in memorizing statutes, but in applying them with wisdom, empathy, and innovation. As Canada Vancouver continues to grow as a global city, its lawyers must rise to meet the challenges of a complex world by serving as architects of justice rather than merely technicians of law.</w:t>
      </w:r>
    </w:p>
    <w:p>
      <w:pPr>
        <w:pStyle w:val="BodyText"/>
      </w:pPr>
      <w:r>
        <w:t xml:space="preserve">/* Bibliographic and Contact Data */</w:t>
      </w:r>
    </w:p>
    <w:p>
      <w:pPr>
        <w:pStyle w:val="BodyText"/>
      </w:pPr>
      <w:r>
        <w:t xml:space="preserve">/* Footer Block for Academic Rigor and Networking*/</w:t>
      </w:r>
    </w:p>
    <w:bookmarkStart w:id="25" w:name="references-further-reading"/>
    <w:p>
      <w:pPr>
        <w:pStyle w:val="Heading3"/>
      </w:pPr>
      <w:r>
        <w:t xml:space="preserve">References &amp; Further Reading</w:t>
      </w:r>
    </w:p>
    <w:p>
      <w:pPr>
        <w:pStyle w:val="FirstParagraph"/>
      </w:pPr>
      <w:r>
        <w:t xml:space="preserve">• Supreme Court of Canada Decisions on Section 35 Rights.</w:t>
      </w:r>
    </w:p>
    <w:p>
      <w:pPr>
        <w:pStyle w:val="BodyText"/>
      </w:pPr>
      <w:r>
        <w:t xml:space="preserve">/* End References List */</w:t>
      </w:r>
    </w:p>
    <w:p>
      <w:pPr>
        <w:pStyle w:val="BodyText"/>
      </w:pPr>
      <w:r>
        <w:rPr>
          <w:bCs/>
          <w:b/>
        </w:rPr>
        <w:t xml:space="preserve">Contact:</w:t>
      </w:r>
      <w:r>
        <w:t xml:space="preserve"> </w:t>
      </w:r>
      <w:r>
        <w:t xml:space="preserve">[Email Address] | [LinkedIn Profile URL]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Lawyers in British Columbia</dc:title>
  <dc:creator/>
  <dc:language>en</dc:language>
  <cp:keywords/>
  <dcterms:created xsi:type="dcterms:W3CDTF">2026-07-29T15:02:13Z</dcterms:created>
  <dcterms:modified xsi:type="dcterms:W3CDTF">2026-07-29T15:02:13Z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