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and</w:t>
      </w:r>
      <w:r>
        <w:t xml:space="preserve"> </w:t>
      </w:r>
      <w:r>
        <w:t xml:space="preserve">Modernization</w:t>
      </w:r>
      <w:r>
        <w:t xml:space="preserve"> </w:t>
      </w:r>
      <w:r>
        <w:t xml:space="preserve">of</w:t>
      </w:r>
      <w:r>
        <w:t xml:space="preserve"> </w:t>
      </w:r>
      <w:r>
        <w:t xml:space="preserve">the</w:t>
      </w:r>
      <w:r>
        <w:t xml:space="preserve"> </w:t>
      </w:r>
      <w:r>
        <w:t xml:space="preserve">Legal</w:t>
      </w:r>
      <w:r>
        <w:t xml:space="preserve"> </w:t>
      </w:r>
      <w:r>
        <w:t xml:space="preserve">Profession</w:t>
      </w:r>
      <w:r>
        <w:t xml:space="preserve"> </w:t>
      </w:r>
      <w:r>
        <w:t xml:space="preserve">in</w:t>
      </w:r>
      <w:r>
        <w:t xml:space="preserve"> </w:t>
      </w:r>
      <w:r>
        <w:t xml:space="preserve">France</w:t>
      </w:r>
    </w:p>
    <w:bookmarkStart w:id="31" w:name="Xcbc453bbfa04a1a24b466b7b67abe20027528a4"/>
    <w:p>
      <w:pPr>
        <w:pStyle w:val="Heading1"/>
      </w:pPr>
      <w:r>
        <w:t xml:space="preserve">Navigating Justice in the Heart of Europe</w:t>
      </w:r>
    </w:p>
    <w:p>
      <w:pPr>
        <w:pStyle w:val="FirstParagraph"/>
      </w:pPr>
      <w:r>
        <w:t xml:space="preserve">A Critical Analysis of the Modern Lawyer’s Role in France, Paris</w:t>
      </w:r>
    </w:p>
    <w:p>
      <w:pPr>
        <w:pStyle w:val="BodyText"/>
      </w:pPr>
      <w:r>
        <w:rPr>
          <w:bCs/>
          <w:b/>
        </w:rPr>
        <w:t xml:space="preserve">Presented by:</w:t>
      </w:r>
      <w:r>
        <w:t xml:space="preserve"> </w:t>
      </w:r>
      <w:r>
        <w:t xml:space="preserve">[Your Name/Institution]</w:t>
      </w:r>
      <w:r>
        <w:br/>
      </w:r>
      <w:r>
        <w:rPr>
          <w:iCs/>
          <w:i/>
        </w:rPr>
        <w:t xml:space="preserve">International Symposium on Comparative Law &amp; Urban Justice</w:t>
      </w:r>
      <w:r>
        <w:br/>
      </w:r>
      <w:r>
        <w:t xml:space="preserve">Paris, France | October 2023</w:t>
      </w:r>
    </w:p>
    <w:bookmarkStart w:id="21" w:name="introduction-context"/>
    <w:p>
      <w:pPr>
        <w:pStyle w:val="Heading2"/>
      </w:pPr>
      <w:r>
        <w:t xml:space="preserve">1. Introduction &amp; Context</w:t>
      </w:r>
    </w:p>
    <w:p>
      <w:pPr>
        <w:pStyle w:val="FirstParagraph"/>
      </w:pPr>
      <w:r>
        <w:rPr>
          <w:bCs/>
          <w:b/>
        </w:rPr>
        <w:t xml:space="preserve">The Lawyer in France</w:t>
      </w:r>
      <w:r>
        <w:t xml:space="preserve"> </w:t>
      </w:r>
      <w:r>
        <w:t xml:space="preserve">is a figure steeped in history, tradition, and rigorous intellectual discipline. However, the contemporary legal landscape in</w:t>
      </w:r>
      <w:r>
        <w:t xml:space="preserve"> </w:t>
      </w:r>
      <w:r>
        <w:rPr>
          <w:bCs/>
          <w:b/>
        </w:rPr>
        <w:t xml:space="preserve">France Paris</w:t>
      </w:r>
      <w:r>
        <w:t xml:space="preserve">, the epicenter of French jurisprudence and policy-making, is undergoing a seismic shift. This poster presentation explores the dual nature of the modern lawyer: as a guardian of republican values and an agent of global commercial adaptation.</w:t>
      </w:r>
    </w:p>
    <w:p>
      <w:pPr>
        <w:pStyle w:val="BodyText"/>
      </w:pPr>
      <w:r>
        <w:rPr>
          <w:bCs/>
          <w:b/>
        </w:rPr>
        <w:t xml:space="preserve">France Paris</w:t>
      </w:r>
      <w:r>
        <w:t xml:space="preserve"> </w:t>
      </w:r>
      <w:r>
        <w:t xml:space="preserve">serves not only as the geographic location but as a symbolic capital for law in Europe. The proximity to institutions such as the Cour de Cassation, the Conseil d'État, and numerous international arbitration centers creates a unique ecosystem for legal practice. This academic inquiry aims to dissect how lawyers operating within this specific geopolitical and cultural context navigate the tensions between civil law traditions and international common law influences.</w:t>
      </w:r>
    </w:p>
    <w:bookmarkStart w:id="20" w:name="research-questions"/>
    <w:p>
      <w:pPr>
        <w:pStyle w:val="Heading3"/>
      </w:pPr>
      <w:r>
        <w:t xml:space="preserve">Research Questions</w:t>
      </w:r>
    </w:p>
    <w:p>
      <w:pPr>
        <w:numPr>
          <w:ilvl w:val="0"/>
          <w:numId w:val="1001"/>
        </w:numPr>
        <w:pStyle w:val="Compact"/>
      </w:pPr>
      <w:r>
        <w:t xml:space="preserve">How has digital transformation impacted the traditional client-lawyer relationship in Parisian firms?</w:t>
      </w:r>
    </w:p>
    <w:p>
      <w:pPr>
        <w:numPr>
          <w:ilvl w:val="0"/>
          <w:numId w:val="1001"/>
        </w:numPr>
        <w:pStyle w:val="Compact"/>
      </w:pPr>
      <w:r>
        <w:t xml:space="preserve">In what ways does the French model of legal ethics differ from Anglo-Saxon models, and how is this reflected in daily practice?</w:t>
      </w:r>
    </w:p>
    <w:p>
      <w:pPr>
        <w:pStyle w:val="FirstParagraph"/>
      </w:pPr>
      <w:r>
        <w:br/>
      </w:r>
    </w:p>
    <w:bookmarkEnd w:id="20"/>
    <w:bookmarkEnd w:id="21"/>
    <w:bookmarkStart w:id="24" w:name="methodology"/>
    <w:p>
      <w:pPr>
        <w:pStyle w:val="Heading2"/>
      </w:pPr>
      <w:r>
        <w:t xml:space="preserve">2. Methodology</w:t>
      </w:r>
    </w:p>
    <w:p>
      <w:pPr>
        <w:pStyle w:val="FirstParagraph"/>
      </w:pPr>
      <w:r>
        <w:t xml:space="preserve">This study employs a mixed-methods approach, combining quantitative analysis of legal market data with qualitative ethnographic observations of lawyers practicing in the central arrondissements of</w:t>
      </w:r>
      <w:r>
        <w:t xml:space="preserve"> </w:t>
      </w:r>
      <w:r>
        <w:rPr>
          <w:bCs/>
          <w:b/>
        </w:rPr>
        <w:t xml:space="preserve">France Paris</w:t>
      </w:r>
      <w:r>
        <w:t xml:space="preserve">. The timeframe covers the decade from 2013 to 2023, a period marked by significant legislative reforms and technological disruption.</w:t>
      </w:r>
    </w:p>
    <w:bookmarkStart w:id="22" w:name="data-collection-methods"/>
    <w:p>
      <w:pPr>
        <w:pStyle w:val="Heading4"/>
      </w:pPr>
      <w:r>
        <w:t xml:space="preserve">Data Collection Methods:</w:t>
      </w:r>
    </w:p>
    <w:p>
      <w:pPr>
        <w:numPr>
          <w:ilvl w:val="0"/>
          <w:numId w:val="1002"/>
        </w:numPr>
        <w:pStyle w:val="Compact"/>
      </w:pPr>
      <w:r>
        <w:rPr>
          <w:bCs/>
          <w:b/>
        </w:rPr>
        <w:t xml:space="preserve">Semi-structured Interviews:</w:t>
      </w:r>
      <w:r>
        <w:t xml:space="preserve"> </w:t>
      </w:r>
      <w:r>
        <w:t xml:space="preserve">Conducted with 50 lawyers, ranging from junior associates to partners in "Big Law" firms located in the La Défense business district and historic offices near the Palais de Justice.</w:t>
      </w:r>
    </w:p>
    <w:p>
      <w:pPr>
        <w:numPr>
          <w:ilvl w:val="0"/>
          <w:numId w:val="1002"/>
        </w:numPr>
        <w:pStyle w:val="Compact"/>
      </w:pPr>
      <w:r>
        <w:rPr>
          <w:bCs/>
          <w:b/>
        </w:rPr>
        <w:t xml:space="preserve">Documentary Analysis:</w:t>
      </w:r>
      <w:r>
        <w:t xml:space="preserve"> </w:t>
      </w:r>
      <w:r>
        <w:t xml:space="preserve">Review of bar council (Conseil de l'Ordre) regulations, particularly those introduced by the 2011 Reform Law which liberalized certain aspects of legal practice in</w:t>
      </w:r>
      <w:r>
        <w:t xml:space="preserve"> </w:t>
      </w:r>
      <w:r>
        <w:rPr>
          <w:bCs/>
          <w:b/>
        </w:rPr>
        <w:t xml:space="preserve">France</w:t>
      </w:r>
      <w:r>
        <w:t xml:space="preserve">.</w:t>
      </w:r>
    </w:p>
    <w:p>
      <w:pPr>
        <w:numPr>
          <w:ilvl w:val="0"/>
          <w:numId w:val="1002"/>
        </w:numPr>
        <w:pStyle w:val="Compact"/>
      </w:pPr>
      <w:r>
        <w:rPr>
          <w:bCs/>
          <w:b/>
        </w:rPr>
        <w:t xml:space="preserve">Comparative Case Studies:</w:t>
      </w:r>
      <w:r>
        <w:t xml:space="preserve">An analysis of high-profile litigation cases handled by Parisian firms to observe strategic adaptations.</w:t>
      </w:r>
    </w:p>
    <w:p>
      <w:pPr>
        <w:pStyle w:val="FirstParagraph"/>
      </w:pPr>
      <w:r>
        <w:br/>
      </w:r>
    </w:p>
    <w:bookmarkEnd w:id="22"/>
    <w:bookmarkStart w:id="23" w:name="theoretical-framework"/>
    <w:p>
      <w:pPr>
        <w:pStyle w:val="Heading4"/>
      </w:pPr>
      <w:r>
        <w:t xml:space="preserve">Theoretical Framework</w:t>
      </w:r>
    </w:p>
    <w:p>
      <w:pPr>
        <w:pStyle w:val="FirstParagraph"/>
      </w:pPr>
      <w:r>
        <w:t xml:space="preserve">The study is grounded in Pierre Bourdieu’s concept of "legal field" and sociological analyses of professional power. It posits that the identity of a</w:t>
      </w:r>
      <w:r>
        <w:t xml:space="preserve"> </w:t>
      </w:r>
      <w:r>
        <w:rPr>
          <w:bCs/>
          <w:b/>
        </w:rPr>
        <w:t xml:space="preserve">Lawyer</w:t>
      </w:r>
      <w:r>
        <w:t xml:space="preserve"> </w:t>
      </w:r>
      <w:r>
        <w:t xml:space="preserve">in France is not static but is continuously negotiated between the state, the market, and professional self-regulation.</w:t>
      </w:r>
    </w:p>
    <w:p>
      <w:pPr>
        <w:pStyle w:val="BodyText"/>
      </w:pPr>
      <w:r>
        <w:br/>
      </w:r>
    </w:p>
    <w:bookmarkEnd w:id="23"/>
    <w:bookmarkEnd w:id="24"/>
    <w:bookmarkStart w:id="25" w:name="key-findings"/>
    <w:p>
      <w:pPr>
        <w:pStyle w:val="Heading2"/>
      </w:pPr>
      <w:r>
        <w:t xml:space="preserve">3. Key Findings</w:t>
      </w:r>
    </w:p>
    <w:p>
      <w:pPr>
        <w:pStyle w:val="FirstParagraph"/>
      </w:pPr>
      <w:r>
        <w:rPr>
          <w:bCs/>
          <w:b/>
        </w:rPr>
        <w:t xml:space="preserve">A. The Hybridization of Practice</w:t>
      </w:r>
    </w:p>
    <w:p>
      <w:pPr>
        <w:pStyle w:val="BodyText"/>
      </w:pPr>
      <w:r>
        <w:t xml:space="preserve">The data reveals a growing hybrid identity among young lawyers in Paris. While they adhere to the strict ethical codes mandated by the French legal profession, their operational methods increasingly mimic those of international common law firms. This is particularly evident in litigation support and alternative dispute resolution mechanisms.</w:t>
      </w:r>
    </w:p>
    <w:p>
      <w:pPr>
        <w:pStyle w:val="BodyText"/>
      </w:pPr>
      <w:r>
        <w:rPr>
          <w:bCs/>
          <w:b/>
        </w:rPr>
        <w:t xml:space="preserve">B. Digital Disruption</w:t>
      </w:r>
    </w:p>
    <w:p>
      <w:pPr>
        <w:pStyle w:val="BodyText"/>
      </w:pPr>
      <w:r>
        <w:t xml:space="preserve">The adoption of LegalTech in</w:t>
      </w:r>
      <w:r>
        <w:t xml:space="preserve"> </w:t>
      </w:r>
      <w:r>
        <w:rPr>
          <w:bCs/>
          <w:b/>
        </w:rPr>
        <w:t xml:space="preserve">France Paris</w:t>
      </w:r>
      <w:r>
        <w:t xml:space="preserve"> </w:t>
      </w:r>
      <w:r>
        <w:t xml:space="preserve">has accelerated post-2020. However, unlike the US or UK, French lawyers exhibit a cautious approach to automation, prioritizing data privacy (GDPR) and professional secrecy over pure efficiency gains. The "cabinet d'avocats" remains a physical space of trust, even as consultations move online.</w:t>
      </w:r>
    </w:p>
    <w:p>
      <w:pPr>
        <w:pStyle w:val="BodyText"/>
      </w:pPr>
      <w:r>
        <w:rPr>
          <w:bCs/>
          <w:b/>
        </w:rPr>
        <w:t xml:space="preserve">C. Global vs. Local Tensions</w:t>
      </w:r>
    </w:p>
    <w:p>
      <w:pPr>
        <w:pStyle w:val="BodyText"/>
      </w:pPr>
      <w:r>
        <w:t xml:space="preserve">Lawyers practicing international commercial law in Paris face a unique challenge: they must translate global standards into the rigid framework of French civil code. This creates a specialized niche for Parisian lawyers who act as cultural and legal intermediaries, making</w:t>
      </w:r>
      <w:r>
        <w:t xml:space="preserve"> </w:t>
      </w:r>
      <w:r>
        <w:rPr>
          <w:bCs/>
          <w:b/>
        </w:rPr>
        <w:t xml:space="preserve">France</w:t>
      </w:r>
      <w:r>
        <w:t xml:space="preserve"> </w:t>
      </w:r>
      <w:r>
        <w:t xml:space="preserve">a preferred hub for cross-border disputes involving European entities.</w:t>
      </w:r>
    </w:p>
    <w:p>
      <w:pPr>
        <w:pStyle w:val="BodyText"/>
      </w:pPr>
      <w:r>
        <w:br/>
      </w:r>
    </w:p>
    <w:bookmarkEnd w:id="25"/>
    <w:bookmarkStart w:id="26" w:name="ethical-professional-challenges"/>
    <w:p>
      <w:pPr>
        <w:pStyle w:val="Heading2"/>
      </w:pPr>
      <w:r>
        <w:t xml:space="preserve">4. Ethical &amp; Professional Challenges</w:t>
      </w:r>
    </w:p>
    <w:p>
      <w:pPr>
        <w:pStyle w:val="FirstParagraph"/>
      </w:pPr>
      <w:r>
        <w:t xml:space="preserve">The role of the</w:t>
      </w:r>
      <w:r>
        <w:t xml:space="preserve"> </w:t>
      </w:r>
      <w:r>
        <w:rPr>
          <w:bCs/>
          <w:b/>
        </w:rPr>
        <w:t xml:space="preserve">Lawyer</w:t>
      </w:r>
      <w:r>
        <w:t xml:space="preserve"> </w:t>
      </w:r>
      <w:r>
        <w:t xml:space="preserve">in France is heavily protected by the principle of "indépendance." However, this independence is increasingly tested by large corporate clients and market competition.</w:t>
      </w:r>
    </w:p>
    <w:p>
      <w:pPr>
        <w:numPr>
          <w:ilvl w:val="0"/>
          <w:numId w:val="1003"/>
        </w:numPr>
        <w:pStyle w:val="Compact"/>
      </w:pPr>
      <w:r>
        <w:rPr>
          <w:bCs/>
          <w:b/>
        </w:rPr>
        <w:t xml:space="preserve">Dual Role Conflict:</w:t>
      </w:r>
      <w:r>
        <w:t xml:space="preserve"> </w:t>
      </w:r>
      <w:r>
        <w:t xml:space="preserve">Lawyers must balance their duty to justice (office ministerial) with their role as commercial advisors to private clients.</w:t>
      </w:r>
    </w:p>
    <w:p>
      <w:pPr>
        <w:numPr>
          <w:ilvl w:val="0"/>
          <w:numId w:val="1003"/>
        </w:numPr>
        <w:pStyle w:val="Compact"/>
      </w:pPr>
      <w:r>
        <w:rPr>
          <w:bCs/>
          <w:b/>
        </w:rPr>
        <w:t xml:space="preserve">The "Avocat d'Affaires":</w:t>
      </w:r>
      <w:r>
        <w:t xml:space="preserve">The rise of the specialized business lawyer has created a divergence within the profession. While some focus on public interest and human rights, others serve multinational corporations, raising questions about access to justice for average citizens in</w:t>
      </w:r>
      <w:r>
        <w:t xml:space="preserve"> </w:t>
      </w:r>
      <w:r>
        <w:rPr>
          <w:bCs/>
          <w:b/>
        </w:rPr>
        <w:t xml:space="preserve">France Paris</w:t>
      </w:r>
      <w:r>
        <w:t xml:space="preserve">.</w:t>
      </w:r>
    </w:p>
    <w:p>
      <w:pPr>
        <w:numPr>
          <w:ilvl w:val="0"/>
          <w:numId w:val="1003"/>
        </w:numPr>
        <w:pStyle w:val="Compact"/>
      </w:pPr>
      <w:r>
        <w:rPr>
          <w:bCs/>
          <w:b/>
        </w:rPr>
        <w:t xml:space="preserve">Regulatory Resistance:</w:t>
      </w:r>
      <w:r>
        <w:t xml:space="preserve">The Conseil National des Barreaux (CNB) has resisted full liberalization of fees and ownership structures, fearing the erosion of professional ethics seen in other jurisdictions.</w:t>
      </w:r>
    </w:p>
    <w:p>
      <w:pPr>
        <w:pStyle w:val="FirstParagraph"/>
      </w:pPr>
      <w:r>
        <w:br/>
      </w:r>
    </w:p>
    <w:bookmarkEnd w:id="26"/>
    <w:bookmarkStart w:id="28" w:name="future-implications-for-paris"/>
    <w:p>
      <w:pPr>
        <w:pStyle w:val="Heading2"/>
      </w:pPr>
      <w:r>
        <w:t xml:space="preserve">5. Future Implications for Paris</w:t>
      </w:r>
    </w:p>
    <w:p>
      <w:pPr>
        <w:pStyle w:val="FirstParagraph"/>
      </w:pPr>
      <w:r>
        <w:t xml:space="preserve">The findings suggest that the legal profession in</w:t>
      </w:r>
      <w:r>
        <w:t xml:space="preserve"> </w:t>
      </w:r>
      <w:r>
        <w:rPr>
          <w:bCs/>
          <w:b/>
        </w:rPr>
        <w:t xml:space="preserve">France Paris</w:t>
      </w:r>
      <w:r>
        <w:t xml:space="preserve"> </w:t>
      </w:r>
      <w:r>
        <w:t xml:space="preserve">is at a crossroads. To maintain its status as a global legal hub, the French model must evolve while preserving its distinctive ethical framework.</w:t>
      </w:r>
    </w:p>
    <w:bookmarkStart w:id="27" w:name="predicted-trends"/>
    <w:p>
      <w:pPr>
        <w:pStyle w:val="Heading4"/>
      </w:pPr>
      <w:r>
        <w:t xml:space="preserve">Predicted Trends:</w:t>
      </w:r>
    </w:p>
    <w:p>
      <w:pPr>
        <w:pStyle w:val="FirstParagraph"/>
      </w:pPr>
      <w:r>
        <w:br/>
      </w:r>
    </w:p>
    <w:p>
      <w:pPr>
        <w:numPr>
          <w:ilvl w:val="0"/>
          <w:numId w:val="1004"/>
        </w:numPr>
        <w:pStyle w:val="Compact"/>
      </w:pPr>
      <w:r>
        <w:rPr>
          <w:bCs/>
          <w:b/>
        </w:rPr>
        <w:t xml:space="preserve">Interdisciplinarity:</w:t>
      </w:r>
      <w:r>
        <w:t xml:space="preserve">Firms will increasingly integrate non-lawyer experts (economists, data scientists) into their teams to offer holistic solutions.</w:t>
      </w:r>
    </w:p>
    <w:p>
      <w:pPr>
        <w:numPr>
          <w:ilvl w:val="0"/>
          <w:numId w:val="1004"/>
        </w:numPr>
        <w:pStyle w:val="Compact"/>
      </w:pPr>
      <w:r>
        <w:rPr>
          <w:bCs/>
          <w:b/>
        </w:rPr>
        <w:t xml:space="preserve">Jurisprudential Export:</w:t>
      </w:r>
      <w:r>
        <w:t xml:space="preserve">Parisian lawyers will play a larger role in shaping international arbitration rules, leveraging the city's neutrality and legal infrastructure.</w:t>
      </w:r>
    </w:p>
    <w:p>
      <w:pPr>
        <w:numPr>
          <w:ilvl w:val="0"/>
          <w:numId w:val="1004"/>
        </w:numPr>
        <w:pStyle w:val="Compact"/>
      </w:pPr>
      <w:r>
        <w:rPr>
          <w:bCs/>
          <w:b/>
        </w:rPr>
        <w:t xml:space="preserve">Digital Sovereignty:</w:t>
      </w:r>
      <w:r>
        <w:t xml:space="preserve">A push for "French" LegalTech solutions that respect local data laws and ethical standards, positioning</w:t>
      </w:r>
      <w:r>
        <w:t xml:space="preserve"> </w:t>
      </w:r>
      <w:r>
        <w:rPr>
          <w:bCs/>
          <w:b/>
        </w:rPr>
        <w:t xml:space="preserve">France</w:t>
      </w:r>
      <w:r>
        <w:t xml:space="preserve"> </w:t>
      </w:r>
      <w:r>
        <w:t xml:space="preserve">as an alternative to Silicon Valley-driven legal platforms.</w:t>
      </w:r>
    </w:p>
    <w:p>
      <w:pPr>
        <w:pStyle w:val="FirstParagraph"/>
      </w:pPr>
      <w:r>
        <w:br/>
      </w:r>
    </w:p>
    <w:bookmarkEnd w:id="27"/>
    <w:bookmarkEnd w:id="28"/>
    <w:bookmarkStart w:id="30" w:name="conclusion"/>
    <w:p>
      <w:pPr>
        <w:pStyle w:val="Heading2"/>
      </w:pPr>
      <w:r>
        <w:t xml:space="preserve">6. Conclusion</w:t>
      </w:r>
    </w:p>
    <w:p>
      <w:pPr>
        <w:pStyle w:val="FirstParagraph"/>
      </w:pPr>
      <w:r>
        <w:t xml:space="preserve">This presentation demonstrates that the modern</w:t>
      </w:r>
      <w:r>
        <w:t xml:space="preserve"> </w:t>
      </w:r>
      <w:r>
        <w:rPr>
          <w:bCs/>
          <w:b/>
        </w:rPr>
        <w:t xml:space="preserve">Lawyer</w:t>
      </w:r>
      <w:r>
        <w:t xml:space="preserve"> </w:t>
      </w:r>
      <w:r>
        <w:t xml:space="preserve">in</w:t>
      </w:r>
      <w:r>
        <w:t xml:space="preserve"> </w:t>
      </w:r>
      <w:r>
        <w:rPr>
          <w:bCs/>
          <w:b/>
        </w:rPr>
        <w:t xml:space="preserve">France Paris</w:t>
      </w:r>
      <w:r>
        <w:t xml:space="preserve"> </w:t>
      </w:r>
      <w:r>
        <w:t xml:space="preserve">is a complex professional navigating a rapidly changing environment. While rooted in centuries of civil law tradition, the profession is actively engaging with globalization and digitization.</w:t>
      </w:r>
    </w:p>
    <w:p>
      <w:pPr>
        <w:pStyle w:val="BodyText"/>
      </w:pPr>
      <w:r>
        <w:br/>
      </w:r>
    </w:p>
    <w:p>
      <w:pPr>
        <w:pStyle w:val="BodyText"/>
      </w:pPr>
      <w:r>
        <w:t xml:space="preserve">The unique position of Paris as both a national capital and an international financial center requires lawyers to possess dual competencies: deep local knowledge and global awareness. The future of legal practice in this region depends on balancing innovation with the preservation of professional integrity.</w:t>
      </w:r>
    </w:p>
    <w:p>
      <w:pPr>
        <w:pStyle w:val="BodyText"/>
      </w:pPr>
      <w:r>
        <w:br/>
      </w:r>
    </w:p>
    <w:bookmarkStart w:id="29" w:name="references"/>
    <w:p>
      <w:pPr>
        <w:pStyle w:val="Heading3"/>
      </w:pPr>
      <w:r>
        <w:t xml:space="preserve">References</w:t>
      </w:r>
    </w:p>
    <w:p>
      <w:pPr>
        <w:numPr>
          <w:ilvl w:val="0"/>
          <w:numId w:val="1005"/>
        </w:numPr>
        <w:pStyle w:val="Compact"/>
      </w:pPr>
      <w:r>
        <w:t xml:space="preserve">Bourdieu, P. (1987). The Force of Law: Toward a Sociology of the Juridical Field.</w:t>
      </w:r>
    </w:p>
    <w:p>
      <w:pPr>
        <w:numPr>
          <w:ilvl w:val="0"/>
          <w:numId w:val="1005"/>
        </w:numPr>
        <w:pStyle w:val="Compact"/>
      </w:pPr>
      <w:r>
        <w:t xml:space="preserve">Herczegh, G., &amp; Kressel, L. (2020). LegalTech in France: Regulation and Innovation.</w:t>
      </w:r>
    </w:p>
    <w:p>
      <w:pPr>
        <w:numPr>
          <w:ilvl w:val="0"/>
          <w:numId w:val="1005"/>
        </w:numPr>
        <w:pStyle w:val="Compact"/>
      </w:pPr>
      <w:r>
        <w:t xml:space="preserve">Conseil National des Barreaux. (2021). Annual Report on the Organization of the Legal Profession in France.</w:t>
      </w:r>
    </w:p>
    <w:p>
      <w:pPr>
        <w:numPr>
          <w:ilvl w:val="0"/>
          <w:numId w:val="1005"/>
        </w:numPr>
        <w:pStyle w:val="Compact"/>
      </w:pPr>
      <w:r>
        <w:t xml:space="preserve">Tribunal de Commerce de Paris. (2022). Statistical Data on Litigation Trends.</w:t>
      </w:r>
    </w:p>
    <w:p>
      <w:pPr>
        <w:pStyle w:val="FirstParagraph"/>
      </w:pPr>
      <w:r>
        <w:br/>
      </w:r>
    </w:p>
    <w:p>
      <w:pPr>
        <w:pStyle w:val="BodyText"/>
      </w:pPr>
      <w:r>
        <w:rPr>
          <w:bCs/>
          <w:b/>
        </w:rPr>
        <w:t xml:space="preserve">Contact:</w:t>
      </w:r>
      <w:r>
        <w:br/>
      </w:r>
      <w:r>
        <w:t xml:space="preserve">Email: researcher@university.edu</w:t>
      </w:r>
      <w:r>
        <w:br/>
      </w:r>
      <w:r>
        <w:t xml:space="preserve">Website: www.legalstudies-france.org</w:t>
      </w:r>
      <w:r>
        <w:br/>
      </w:r>
      <w:r>
        <w:t xml:space="preserve">Thank you for your attention! Questions?</w:t>
      </w:r>
    </w:p>
    <w:p>
      <w:pPr>
        <w:pStyle w:val="BodyText"/>
      </w:pPr>
      <w:r>
        <w:br/>
      </w:r>
    </w:p>
    <w:bookmarkEnd w:id="29"/>
    <w:bookmarkEnd w:id="30"/>
    <w:p>
      <w:pPr>
        <w:pStyle w:val="BodyText"/>
      </w:pPr>
      <w:r>
        <w:t xml:space="preserve">© 2023 Academic Poster Presentation on Legal Studies in France.</w:t>
      </w:r>
    </w:p>
    <w:p>
      <w:pPr>
        <w:pStyle w:val="BodyText"/>
      </w:pPr>
      <w:r>
        <w:rPr>
          <w:iCs/>
          <w:i/>
        </w:rPr>
        <w:t xml:space="preserve">"Liberté, Égalité, Fraternité – Justice pour tous"</w:t>
      </w:r>
    </w:p>
    <w:p>
      <w:pPr>
        <w:pStyle w:val="BodyText"/>
      </w:pPr>
      <w:r>
        <w:br/>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Evolution and Modernization of the Legal Profession in France</dc:title>
  <dc:creator/>
  <dc:language>en</dc:language>
  <cp:keywords/>
  <dcterms:created xsi:type="dcterms:W3CDTF">2026-07-29T23:09:39Z</dcterms:created>
  <dcterms:modified xsi:type="dcterms:W3CDTF">2026-07-29T23:09:39Z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