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The</w:t>
      </w:r>
      <w:r>
        <w:t xml:space="preserve"> </w:t>
      </w:r>
      <w:r>
        <w:t xml:space="preserve">Modern</w:t>
      </w:r>
      <w:r>
        <w:t xml:space="preserve"> </w:t>
      </w:r>
      <w:r>
        <w:t xml:space="preserve">Legal</w:t>
      </w:r>
      <w:r>
        <w:t xml:space="preserve"> </w:t>
      </w:r>
      <w:r>
        <w:t xml:space="preserve">Landscape</w:t>
      </w:r>
      <w:r>
        <w:t xml:space="preserve"> </w:t>
      </w:r>
      <w:r>
        <w:t xml:space="preserve">for</w:t>
      </w:r>
      <w:r>
        <w:t xml:space="preserve"> </w:t>
      </w:r>
      <w:r>
        <w:t xml:space="preserve">Lawyers</w:t>
      </w:r>
      <w:r>
        <w:t xml:space="preserve"> </w:t>
      </w:r>
      <w:r>
        <w:t xml:space="preserve">in</w:t>
      </w:r>
      <w:r>
        <w:t xml:space="preserve"> </w:t>
      </w:r>
      <w:r>
        <w:t xml:space="preserve">Germany</w:t>
      </w:r>
      <w:r>
        <w:t xml:space="preserve"> </w:t>
      </w:r>
      <w:r>
        <w:t xml:space="preserve">Frankfurt</w:t>
      </w:r>
    </w:p>
    <w:bookmarkStart w:id="31" w:name="X9eb0c60aa418fc4cbe53f30372929fd15792213"/>
    <w:p>
      <w:pPr>
        <w:pStyle w:val="Heading1"/>
      </w:pPr>
      <w:r>
        <w:t xml:space="preserve">The Modern Legal Landscape for Lawyers in Germany Frankfurt</w:t>
      </w:r>
    </w:p>
    <w:p>
      <w:pPr>
        <w:pStyle w:val="FirstParagraph"/>
      </w:pPr>
      <w:r>
        <w:t xml:space="preserve">Presented at the International Symposium on European Legal Studies</w:t>
      </w:r>
      <w:r>
        <w:br/>
      </w:r>
      <w:r>
        <w:t xml:space="preserve">Frankfurt am Main, Germany</w:t>
      </w:r>
      <w:r>
        <w:br/>
      </w:r>
      <w:r>
        <w:br/>
      </w:r>
      <w:r>
        <w:rPr>
          <w:bCs/>
          <w:b/>
        </w:rPr>
        <w:t xml:space="preserve">Johannes Weber</w:t>
      </w:r>
      <w:r>
        <w:br/>
      </w:r>
      <w:r>
        <w:t xml:space="preserve">Senior Research Fellow, Institute of Corporate Law &amp; Compliance</w:t>
      </w:r>
      <w:r>
        <w:br/>
      </w:r>
      <w:r>
        <w:t xml:space="preserve">Goethe University Frankfurt School of Finance &amp; Management</w:t>
      </w:r>
      <w:r>
        <w:br/>
      </w:r>
      <w:r>
        <w:br/>
      </w:r>
      <w:r>
        <w:t xml:space="preserve">Email: j.weber@fs.de | ORCID: 0000-XXXX-XXXX-XXXX</w:t>
      </w:r>
    </w:p>
    <w:bookmarkStart w:id="20" w:name="abstract"/>
    <w:p>
      <w:pPr>
        <w:pStyle w:val="Heading2"/>
      </w:pPr>
      <w:r>
        <w:t xml:space="preserve">Abstract</w:t>
      </w:r>
    </w:p>
    <w:p>
      <w:pPr>
        <w:pStyle w:val="FirstParagraph"/>
      </w:pPr>
      <w:r>
        <w:t xml:space="preserve">This presentation provides a comprehensive analysis of the evolving role, challenges, and opportunities facing lawyers practicing in Germany’s financial capital, Frankfurt. As the seat of the European Central Bank (ECB) and a major hub for international finance, Frankfurt presents a unique legal ecosystem that differs significantly from other German cities. This academic poster explores three critical dimensions: (1) The impact of post-Brexit regulatory shifts on local legal practice; (2) The integration of digital transformation and LegalTech into traditional law firm structures; and (3) Cross-border compliance requirements in an increasingly fragmented European Union. By examining case studies from Frankfurt’s major financial institutions, this paper argues that the modern lawyer in Germany Frankfurt must transcend traditional billable-hour models to become strategic advisors capable of navigating complex regulatory frameworks.</w:t>
      </w:r>
    </w:p>
    <w:bookmarkEnd w:id="20"/>
    <w:bookmarkStart w:id="21" w:name="X76657177496b327ee745cf22f39257bc9cfe5c7"/>
    <w:p>
      <w:pPr>
        <w:pStyle w:val="Heading2"/>
      </w:pPr>
      <w:r>
        <w:t xml:space="preserve">1. Introduction: The Significance of the German Frankfurt Context</w:t>
      </w:r>
    </w:p>
    <w:p>
      <w:pPr>
        <w:pStyle w:val="FirstParagraph"/>
      </w:pPr>
      <w:r>
        <w:t xml:space="preserve">Frankfurt am Main is not merely a city; it is the financial heartbeat of continental Europe. For lawyers operating within this jurisdiction, the stakes are exceptionally high due to proximity to regulatory bodies such as the European Central Bank (ECB), BaFin (Federal Financial Supervisory Authority), and the Deutsche Bundesbank. The traditional image of a lawyer in Germany as solely a litigator or contract drafter is rapidly becoming obsolete.</w:t>
      </w:r>
    </w:p>
    <w:p>
      <w:pPr>
        <w:pStyle w:val="BodyText"/>
      </w:pPr>
      <w:r>
        <w:t xml:space="preserve">In Germany Frankfurt, legal practice is deeply intertwined with global capital flows. Lawyers here act as gatekeepers for international investment, guardians of financial stability, and facilitators of cross-border M&amp;A (Mergers and Acquisitions). This study highlights that success in this specific geographic locale requires a specialized understanding of both German civil law traditions (*Bürgerliches Gesetzbuch* or BGB) and European Union supranational regulations.</w:t>
      </w:r>
    </w:p>
    <w:bookmarkEnd w:id="21"/>
    <w:bookmarkStart w:id="22" w:name="X9f81d83dd3c65323dadfa1ef96132a39c2a91ca"/>
    <w:p>
      <w:pPr>
        <w:pStyle w:val="Heading2"/>
      </w:pPr>
      <w:r>
        <w:t xml:space="preserve">2. Post-Brexit Implications for Legal Practice</w:t>
      </w:r>
    </w:p>
    <w:p>
      <w:pPr>
        <w:pStyle w:val="FirstParagraph"/>
      </w:pPr>
      <w:r>
        <w:t xml:space="preserve">The departure of the United Kingdom from the European Union had profound effects on Frankfurt’s legal sector. As many banks relocated their EU headquarters to Frankfurt, the demand for lawyers skilled in cross-border dispute resolution and regulatory compliance surged.</w:t>
      </w:r>
    </w:p>
    <w:p>
      <w:pPr>
        <w:pStyle w:val="BodyText"/>
      </w:pPr>
      <w:r>
        <w:rPr>
          <w:bCs/>
          <w:b/>
        </w:rPr>
        <w:t xml:space="preserve">Key Finding:</w:t>
      </w:r>
      <w:r>
        <w:t xml:space="preserve"> </w:t>
      </w:r>
      <w:r>
        <w:t xml:space="preserve">Lawyers in Germany Frankfurt now face a dual responsibility: ensuring that UK-EU financial contracts remain enforceable post-Brexit while adapting to new supervisory frameworks imposed by BaFin on incoming foreign institutions.</w:t>
      </w:r>
    </w:p>
    <w:p>
      <w:pPr>
        <w:pStyle w:val="BodyText"/>
      </w:pPr>
      <w:r>
        <w:t xml:space="preserve">This shift has necessitated a rise in demand for bilingual legal teams and professionals with expertise in English Common Law principles, even within the German civil law system. Consequently, law firms in Frankfurt have expanded their recruitment strategies to include international talent, fostering a more multicultural professional environment than previously observed.</w:t>
      </w:r>
    </w:p>
    <w:bookmarkEnd w:id="22"/>
    <w:bookmarkStart w:id="25" w:name="X3311bb1d23fd025c804c6eb5dfb81a1ecb1595a"/>
    <w:p>
      <w:pPr>
        <w:pStyle w:val="Heading2"/>
      </w:pPr>
      <w:r>
        <w:t xml:space="preserve">3. Digital Transformation and LegalTech Adoption</w:t>
      </w:r>
    </w:p>
    <w:p>
      <w:pPr>
        <w:pStyle w:val="FirstParagraph"/>
      </w:pPr>
      <w:r>
        <w:t xml:space="preserve">The traditional German legal profession has historically been conservative regarding technology adoption. However, the competitive pressure from global "Big Law" firms operating in Germany Frankfurt has accelerated the integration of LegalTech solutions.</w:t>
      </w:r>
    </w:p>
    <w:bookmarkStart w:id="23" w:name="automation-of-routine-tasks"/>
    <w:p>
      <w:pPr>
        <w:pStyle w:val="Heading3"/>
      </w:pPr>
      <w:r>
        <w:t xml:space="preserve">3.1 Automation of Routine Tasks</w:t>
      </w:r>
    </w:p>
    <w:p>
      <w:pPr>
        <w:pStyle w:val="FirstParagraph"/>
      </w:pPr>
      <w:r>
        <w:t xml:space="preserve">Lawyers are increasingly leveraging AI-driven tools for contract review, due diligence, and document management. This is particularly relevant in Frankfurt’s corporate sector, where high volumes of transactional documents require rapid analysis.</w:t>
      </w:r>
    </w:p>
    <w:bookmarkEnd w:id="23"/>
    <w:bookmarkStart w:id="24" w:name="data-privacy-and-cybersecurity"/>
    <w:p>
      <w:pPr>
        <w:pStyle w:val="Heading3"/>
      </w:pPr>
      <w:r>
        <w:t xml:space="preserve">3.2 Data Privacy and Cybersecurity</w:t>
      </w:r>
    </w:p>
    <w:p>
      <w:pPr>
        <w:pStyle w:val="FirstParagraph"/>
      </w:pPr>
      <w:r>
        <w:t xml:space="preserve">Given Germany’s strict enforcement of the General Data Protection Regulation (GDPR), lawyers in Frankfurt are often at the forefront of advising clients on data security protocols. The intersection of technology law and corporate governance has become a critical practice area, requiring lawyers to possess technical literacy alongside legal acumen.</w:t>
      </w:r>
    </w:p>
    <w:bookmarkEnd w:id="24"/>
    <w:bookmarkEnd w:id="25"/>
    <w:bookmarkStart w:id="26" w:name="compliance-and-regulatory-challenges"/>
    <w:p>
      <w:pPr>
        <w:pStyle w:val="Heading2"/>
      </w:pPr>
      <w:r>
        <w:t xml:space="preserve">4. Compliance and Regulatory Challenges</w:t>
      </w:r>
    </w:p>
    <w:p>
      <w:pPr>
        <w:pStyle w:val="FirstParagraph"/>
      </w:pPr>
      <w:r>
        <w:t xml:space="preserve">The regulatory environment in Germany Frankfurt is among the most stringent in the world. Lawyers must navigate a complex web of regulations including:</w:t>
      </w:r>
    </w:p>
    <w:p>
      <w:pPr>
        <w:numPr>
          <w:ilvl w:val="0"/>
          <w:numId w:val="1001"/>
        </w:numPr>
        <w:pStyle w:val="Compact"/>
      </w:pPr>
      <w:r>
        <w:rPr>
          <w:bCs/>
          <w:b/>
        </w:rPr>
        <w:t xml:space="preserve">Anti-Money Laundering (AML):</w:t>
      </w:r>
      <w:r>
        <w:t xml:space="preserve"> </w:t>
      </w:r>
      <w:r>
        <w:t xml:space="preserve">Strict KYC (Know Your Customer) procedures are mandatory.</w:t>
      </w:r>
    </w:p>
    <w:p>
      <w:pPr>
        <w:numPr>
          <w:ilvl w:val="0"/>
          <w:numId w:val="1001"/>
        </w:numPr>
        <w:pStyle w:val="Compact"/>
      </w:pPr>
      <w:r>
        <w:rPr>
          <w:bCs/>
          <w:b/>
        </w:rPr>
        <w:t xml:space="preserve">Sustainability Reporting:</w:t>
      </w:r>
      <w:r>
        <w:t xml:space="preserve"> </w:t>
      </w:r>
      <w:r>
        <w:t xml:space="preserve">With the upcoming implementation of the EU Corporate Sustainability Reporting Directive (CSRD), lawyers must advise corporations on non-financial reporting obligations.</w:t>
      </w:r>
    </w:p>
    <w:p>
      <w:pPr>
        <w:numPr>
          <w:ilvl w:val="0"/>
          <w:numId w:val="1001"/>
        </w:numPr>
        <w:pStyle w:val="Compact"/>
      </w:pPr>
      <w:r>
        <w:rPr>
          <w:bCs/>
          <w:b/>
        </w:rPr>
        <w:t xml:space="preserve">Credit Risk Management:</w:t>
      </w:r>
      <w:r>
        <w:t xml:space="preserve"> </w:t>
      </w:r>
      <w:r>
        <w:t xml:space="preserve">Post-2008 financial crisis regulations continue to shape lending practices, requiring legal oversight in loan structuring and risk assessment.</w:t>
      </w:r>
    </w:p>
    <w:p>
      <w:pPr>
        <w:pStyle w:val="FirstParagraph"/>
      </w:pPr>
      <w:r>
        <w:t xml:space="preserve">Lack of compliance in these areas can result in significant penalties from BaFin. Therefore, the role of the lawyer has expanded into that of a risk manager, proactively identifying potential regulatory breaches before they occur.</w:t>
      </w:r>
    </w:p>
    <w:bookmarkEnd w:id="26"/>
    <w:bookmarkStart w:id="27" w:name="professional-development-and-skills-gap"/>
    <w:p>
      <w:pPr>
        <w:pStyle w:val="Heading2"/>
      </w:pPr>
      <w:r>
        <w:t xml:space="preserve">5. Professional Development and Skills Gap</w:t>
      </w:r>
    </w:p>
    <w:p>
      <w:pPr>
        <w:pStyle w:val="FirstParagraph"/>
      </w:pPr>
      <w:r>
        <w:t xml:space="preserve">To meet these demands, continuing professional development (CPD) for lawyers in Germany Frankfurt must evolve. Traditional legal education at German universities provides a strong foundation in civil law but often lacks specialized training in finance, technology, or international arbitration.</w:t>
      </w:r>
    </w:p>
    <w:p>
      <w:pPr>
        <w:pStyle w:val="BodyText"/>
      </w:pPr>
      <w:r>
        <w:t xml:space="preserve">This presentation recommends:</w:t>
      </w:r>
    </w:p>
    <w:p>
      <w:pPr>
        <w:numPr>
          <w:ilvl w:val="0"/>
          <w:numId w:val="1002"/>
        </w:numPr>
        <w:pStyle w:val="Compact"/>
      </w:pPr>
      <w:r>
        <w:rPr>
          <w:bCs/>
          <w:b/>
        </w:rPr>
        <w:t xml:space="preserve">Mandatory Specialization Modules:</w:t>
      </w:r>
      <w:r>
        <w:t xml:space="preserve"> </w:t>
      </w:r>
      <w:r>
        <w:t xml:space="preserve">Law schools and bar associations should offer mandatory modules on Financial Regulation and Fintech.</w:t>
      </w:r>
    </w:p>
    <w:p>
      <w:pPr>
        <w:numPr>
          <w:ilvl w:val="0"/>
          <w:numId w:val="1002"/>
        </w:numPr>
        <w:pStyle w:val="Compact"/>
      </w:pPr>
      <w:r>
        <w:rPr>
          <w:bCs/>
          <w:b/>
        </w:rPr>
        <w:t xml:space="preserve">Cross-Disciplinary Training:</w:t>
      </w:r>
    </w:p>
    <w:p>
      <w:pPr>
        <w:numPr>
          <w:ilvl w:val="0"/>
          <w:numId w:val="1002"/>
        </w:numPr>
        <w:pStyle w:val="Compact"/>
      </w:pPr>
      <w:r>
        <w:rPr>
          <w:bCs/>
          <w:b/>
        </w:rPr>
        <w:t xml:space="preserve">Digital Ethics:</w:t>
      </w:r>
      <w:r>
        <w:t xml:space="preserve"> </w:t>
      </w:r>
      <w:r>
        <w:t xml:space="preserve">Emphasis on the ethical implications of using AI in legal decision-making.</w:t>
      </w:r>
    </w:p>
    <w:bookmarkEnd w:id="27"/>
    <w:bookmarkStart w:id="28" w:name="X7ea72ec59365e61580e20fbe51640437d5d3b1d"/>
    <w:p>
      <w:pPr>
        <w:pStyle w:val="Heading2"/>
      </w:pPr>
      <w:r>
        <w:t xml:space="preserve">6. Case Study: The Advisory Role in Green Finance</w:t>
      </w:r>
    </w:p>
    <w:p>
      <w:pPr>
        <w:pStyle w:val="FirstParagraph"/>
      </w:pPr>
      <w:r>
        <w:t xml:space="preserve">A recent case study involving a major Frankfurt-based bank illustrates the evolving lawyer role. As the bank transitioned its portfolio towards green bonds and sustainable investments, lawyers were not only responsible for drafting bond agreements but also for verifying the "greenness" of assets in compliance with EU Taxonomy regulations. This example underscores how lawyers are now integral to sustainability strategies, moving beyond pure legal advice to strategic business consulting.</w:t>
      </w:r>
    </w:p>
    <w:bookmarkEnd w:id="28"/>
    <w:bookmarkStart w:id="29" w:name="conclusion"/>
    <w:p>
      <w:pPr>
        <w:pStyle w:val="Heading2"/>
      </w:pPr>
      <w:r>
        <w:t xml:space="preserve">7. Conclusion</w:t>
      </w:r>
    </w:p>
    <w:p>
      <w:pPr>
        <w:pStyle w:val="FirstParagraph"/>
      </w:pPr>
      <w:r>
        <w:t xml:space="preserve">The role of the lawyer in Germany Frankfurt is undergoing a paradigm shift. No longer confined to courtroom advocacy or static contract drafting, today’s legal professional must be a dynamic advisor capable of navigating regulatory complexity, technological disruption, and global market volatility. The unique position of Frankfurt as Europe’s financial center demands a legal workforce that is globally minded, technologically adept, and deeply knowledgeable in both national German law and EU regulations.</w:t>
      </w:r>
    </w:p>
    <w:p>
      <w:pPr>
        <w:pStyle w:val="BodyText"/>
      </w:pPr>
      <w:r>
        <w:t xml:space="preserve">For academic institutions and professional bodies in Germany Frankfurt, the priority must be to bridge the gap between traditional legal training and modern market needs. Only by doing so can they ensure that the next generation of lawyers remains competitive, effective, and essential to the integrity of Europe’s financial infrastructure.</w:t>
      </w:r>
    </w:p>
    <w:bookmarkEnd w:id="29"/>
    <w:bookmarkStart w:id="30" w:name="references"/>
    <w:p>
      <w:pPr>
        <w:pStyle w:val="Heading2"/>
      </w:pPr>
      <w:r>
        <w:t xml:space="preserve">References</w:t>
      </w:r>
    </w:p>
    <w:p>
      <w:pPr>
        <w:numPr>
          <w:ilvl w:val="0"/>
          <w:numId w:val="1003"/>
        </w:numPr>
        <w:pStyle w:val="Compact"/>
      </w:pPr>
      <w:r>
        <w:t xml:space="preserve">Bundesverband deutscher Banken (BdB). (2023). *Financial Market Stability Report*. Frankfurt.</w:t>
      </w:r>
    </w:p>
    <w:p>
      <w:pPr>
        <w:numPr>
          <w:ilvl w:val="0"/>
          <w:numId w:val="1003"/>
        </w:numPr>
        <w:pStyle w:val="Compact"/>
      </w:pPr>
      <w:r>
        <w:t xml:space="preserve">Gesetz über die Mindestpreise für Rechtsdienstleistungen (RVG). Federal Law Gazette.</w:t>
      </w:r>
    </w:p>
    <w:p>
      <w:pPr>
        <w:numPr>
          <w:ilvl w:val="0"/>
          <w:numId w:val="1003"/>
        </w:numPr>
        <w:pStyle w:val="Compact"/>
      </w:pPr>
      <w:r>
        <w:t xml:space="preserve">European Central Bank. (2024). *Annual Economic Bulletin*. Frankfurt am Main.</w:t>
      </w:r>
    </w:p>
    <w:p>
      <w:pPr>
        <w:numPr>
          <w:ilvl w:val="0"/>
          <w:numId w:val="1003"/>
        </w:numPr>
        <w:pStyle w:val="Compact"/>
      </w:pPr>
      <w:r>
        <w:t xml:space="preserve">Müller, H., &amp; Schmidt, K. (2023). "LegalTech Adoption in German Financial Centers." *Journal of European Legal Studies*, 15(2), 112-130.</w:t>
      </w:r>
    </w:p>
    <w:p>
      <w:pPr>
        <w:numPr>
          <w:ilvl w:val="0"/>
          <w:numId w:val="1003"/>
        </w:numPr>
        <w:pStyle w:val="Compact"/>
      </w:pPr>
      <w:r>
        <w:t xml:space="preserve">BaFin. (2024). *Supervisory Guidelines for Digital Asset Providers*. Wiesbaden/Frankfurt.</w:t>
      </w:r>
    </w:p>
    <w:p>
      <w:pPr>
        <w:pStyle w:val="FirstParagraph"/>
      </w:pPr>
      <w:r>
        <w:t xml:space="preserve">© 2024 Johannes Weber. All rights reserved.</w:t>
      </w:r>
      <w:r>
        <w:br/>
      </w:r>
      <w:r>
        <w:t xml:space="preserve">This poster presentation is intended for academic and professional discussion purposes only.</w:t>
      </w:r>
      <w:r>
        <w:t xml:space="preserve"> </w:t>
      </w:r>
      <w:r>
        <w:t xml:space="preserve">Content reflects current legal trends in Germany Frankfurt as of Q3 2024.</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The Modern Legal Landscape for Lawyers in Germany Frankfurt</dc:title>
  <dc:creator/>
  <dc:language>en</dc:language>
  <cp:keywords/>
  <dcterms:created xsi:type="dcterms:W3CDTF">2026-07-29T16:17:09Z</dcterms:created>
  <dcterms:modified xsi:type="dcterms:W3CDTF">2026-07-29T16:17:09Z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