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Iraq,</w:t>
      </w:r>
      <w:r>
        <w:t xml:space="preserve"> </w:t>
      </w:r>
      <w:r>
        <w:t xml:space="preserve">Baghdad</w:t>
      </w:r>
    </w:p>
    <w:bookmarkStart w:id="21" w:name="X5988c07381a9d80454082ca85da8839b71902ea"/>
    <w:p>
      <w:pPr>
        <w:pStyle w:val="Heading1"/>
      </w:pPr>
      <w:r>
        <w:t xml:space="preserve">The Lawyer in Iraq, Baghdad:</w:t>
      </w:r>
      <w:r>
        <w:br/>
      </w:r>
      <w:r>
        <w:t xml:space="preserve">An Academic Analysis of Professional Evolution</w:t>
      </w:r>
    </w:p>
    <w:bookmarkStart w:id="20" w:name="X9f249818653d23125369da7224fc0abbda91cd6"/>
    <w:p>
      <w:pPr>
        <w:pStyle w:val="Heading2"/>
      </w:pPr>
      <w:r>
        <w:t xml:space="preserve">Bridging Traditional Justice and Modern Legal Frameworks</w:t>
      </w:r>
    </w:p>
    <w:p>
      <w:pPr>
        <w:pStyle w:val="FirstParagraph"/>
      </w:pPr>
      <w:r>
        <w:t xml:space="preserve">Presented by: [Student/Researcher Name]</w:t>
      </w:r>
      <w:r>
        <w:br/>
      </w:r>
      <w:r>
        <w:t xml:space="preserve">Department of Law &amp; Political Science</w:t>
      </w:r>
      <w:r>
        <w:br/>
      </w:r>
      <w:r>
        <w:t xml:space="preserve">University of Baghdad, Iraq, Baghdad</w:t>
      </w:r>
      <w:r>
        <w:br/>
      </w:r>
      <w:r>
        <w:t xml:space="preserve">Date: October 2023 Conference on Middle Eastern Jurisprudence</w:t>
      </w:r>
    </w:p>
    <w:bookmarkEnd w:id="20"/>
    <w:bookmarkEnd w:id="21"/>
    <w:bookmarkStart w:id="22" w:name="abstract"/>
    <w:p>
      <w:pPr>
        <w:pStyle w:val="Heading3"/>
      </w:pPr>
      <w:r>
        <w:t xml:space="preserve">Abstract</w:t>
      </w:r>
    </w:p>
    <w:p>
      <w:pPr>
        <w:pStyle w:val="FirstParagraph"/>
      </w:pPr>
      <w:r>
        <w:t xml:space="preserve">This academic poster presents a comprehensive analysis of the evolving role of the lawyer within the specific socio-legal context of Iraq, Baghdad. The study examines how legal professionals in Iraq, Baghdad navigate the complex intersection of civil law traditions, Islamic jurisprudence (Sharia), and international human rights standards. By exploring historical shifts from pre-2003 to contemporary times, this research highlights the critical functions lawyers serve in upholding due process, protecting individual rights amidst instability, and contributing to judicial reform. The findings suggest that while systemic challenges persist in Iraq, Baghdad's legal community is increasingly adopting modern advocacy techniques essential for a functioning democratic society.</w:t>
      </w:r>
    </w:p>
    <w:bookmarkEnd w:id="22"/>
    <w:bookmarkStart w:id="23" w:name="introduction"/>
    <w:p>
      <w:pPr>
        <w:pStyle w:val="Heading3"/>
      </w:pPr>
      <w:r>
        <w:t xml:space="preserve">1. Introduction</w:t>
      </w:r>
    </w:p>
    <w:p>
      <w:pPr>
        <w:pStyle w:val="FirstParagraph"/>
      </w:pPr>
      <w:r>
        <w:t xml:space="preserve">The profession of the lawyer in Iraq, Baghdad, serves as the cornerstone of legal stability and social justice. In a region characterized by profound political and social transformation, the mandate for legal counsel extends far beyond mere representation. This presentation focuses on Iraq, Baghdad as a microcosm for understanding national trends. The primary objective is to define how lawyers in Iraq adapt to legislative changes while maintaining ethical standards required by the Iraqi Bar Council.</w:t>
      </w:r>
    </w:p>
    <w:p>
      <w:pPr>
        <w:pStyle w:val="BodyText"/>
      </w:pPr>
      <w:r>
        <w:t xml:space="preserve">Understanding the lawyer in this specific geographic and cultural context is vital for international observers and local policymakers alike. The unique legal ecosystem of Iraq, Baghdad requires a nuanced approach that respects local customs while enforcing statutory law.</w:t>
      </w:r>
    </w:p>
    <w:bookmarkEnd w:id="23"/>
    <w:bookmarkStart w:id="24" w:name="historical-context-evolution"/>
    <w:p>
      <w:pPr>
        <w:pStyle w:val="Heading3"/>
      </w:pPr>
      <w:r>
        <w:t xml:space="preserve">2. Historical Context &amp; Evolution</w:t>
      </w:r>
    </w:p>
    <w:p>
      <w:pPr>
        <w:numPr>
          <w:ilvl w:val="0"/>
          <w:numId w:val="1001"/>
        </w:numPr>
        <w:pStyle w:val="Compact"/>
      </w:pPr>
      <w:r>
        <w:rPr>
          <w:bCs/>
          <w:b/>
        </w:rPr>
        <w:t xml:space="preserve">The Ottoman Legacy:</w:t>
      </w:r>
      <w:r>
        <w:t xml:space="preserve"> </w:t>
      </w:r>
      <w:r>
        <w:t xml:space="preserve">Early legal structures in Iraq, Baghdad were influenced by Ottoman codes, setting the stage for a mixed legal system.</w:t>
      </w:r>
    </w:p>
    <w:p>
      <w:pPr>
        <w:numPr>
          <w:ilvl w:val="0"/>
          <w:numId w:val="1001"/>
        </w:numPr>
        <w:pStyle w:val="Compact"/>
      </w:pPr>
      <w:r>
        <w:rPr>
          <w:bCs/>
          <w:b/>
        </w:rPr>
        <w:t xml:space="preserve">The Republican Era (1920s-2003):</w:t>
      </w:r>
      <w:r>
        <w:t xml:space="preserve"> </w:t>
      </w:r>
      <w:r>
        <w:t xml:space="preserve">The establishment of formal bar associations in Iraq created structured pathways for lawyers. However, political interference often compromised judicial independence.</w:t>
      </w:r>
    </w:p>
    <w:p>
      <w:pPr>
        <w:numPr>
          <w:ilvl w:val="0"/>
          <w:numId w:val="1001"/>
        </w:numPr>
        <w:pStyle w:val="Compact"/>
      </w:pPr>
      <w:r>
        <w:rPr>
          <w:bCs/>
          <w:b/>
        </w:rPr>
        <w:t xml:space="preserve">The Post-2003 Transition:</w:t>
      </w:r>
      <w:r>
        <w:t xml:space="preserve"> </w:t>
      </w:r>
      <w:r>
        <w:t xml:space="preserve">The dissolution of the previous regime necessitated a complete overhaul of legal education and practice. Lawyers in Iraq faced the daunting task of rebuilding rule-of-law institutions from scratch.</w:t>
      </w:r>
    </w:p>
    <w:bookmarkEnd w:id="24"/>
    <w:bookmarkStart w:id="25" w:name="methodology"/>
    <w:p>
      <w:pPr>
        <w:pStyle w:val="Heading3"/>
      </w:pPr>
      <w:r>
        <w:t xml:space="preserve">3. Methodology</w:t>
      </w:r>
    </w:p>
    <w:p>
      <w:pPr>
        <w:pStyle w:val="FirstParagraph"/>
      </w:pPr>
      <w:r>
        <w:t xml:space="preserve">This study employs a qualitative approach, utilizing:</w:t>
      </w:r>
    </w:p>
    <w:p>
      <w:pPr>
        <w:numPr>
          <w:ilvl w:val="0"/>
          <w:numId w:val="1002"/>
        </w:numPr>
        <w:pStyle w:val="Compact"/>
      </w:pPr>
      <w:r>
        <w:rPr>
          <w:bCs/>
          <w:b/>
        </w:rPr>
        <w:t xml:space="preserve">Semi-structured Interviews:</w:t>
      </w:r>
      <w:r>
        <w:t xml:space="preserve"> </w:t>
      </w:r>
      <w:r>
        <w:t xml:space="preserve">Conducted with senior advocates practicing in Iraq, Baghdad who specialize in civil, criminal, and commercial law.</w:t>
      </w:r>
    </w:p>
    <w:p>
      <w:pPr>
        <w:numPr>
          <w:ilvl w:val="0"/>
          <w:numId w:val="1002"/>
        </w:numPr>
        <w:pStyle w:val="Compact"/>
      </w:pPr>
      <w:r>
        <w:rPr>
          <w:bCs/>
          <w:b/>
        </w:rPr>
        <w:t xml:space="preserve">Case Law Analysis:</w:t>
      </w:r>
    </w:p>
    <w:p>
      <w:pPr>
        <w:numPr>
          <w:ilvl w:val="0"/>
          <w:numId w:val="1002"/>
        </w:numPr>
        <w:pStyle w:val="Compact"/>
      </w:pPr>
      <w:r>
        <w:rPr>
          <w:bCs/>
          <w:b/>
        </w:rPr>
        <w:t xml:space="preserve">Sociological Survey:</w:t>
      </w:r>
      <w:r>
        <w:t xml:space="preserve"> </w:t>
      </w:r>
      <w:r>
        <w:t xml:space="preserve">Questionnaires distributed to law students at the University of Baghdad to gauge professional aspirations and perceived barriers.</w:t>
      </w:r>
    </w:p>
    <w:bookmarkEnd w:id="25"/>
    <w:bookmarkStart w:id="26" w:name="X145aae077a6bcc83bf72b36b8d7b47f80c0ad01"/>
    <w:p>
      <w:pPr>
        <w:pStyle w:val="Heading3"/>
      </w:pPr>
      <w:r>
        <w:t xml:space="preserve">4. Core Functions of the Lawyer in Iraq, Baghdad</w:t>
      </w:r>
    </w:p>
    <w:p>
      <w:pPr>
        <w:pStyle w:val="FirstParagraph"/>
      </w:pPr>
      <w:r>
        <w:t xml:space="preserve">The modern lawyer in Iraq performs several critical roles that define their social utility:</w:t>
      </w:r>
    </w:p>
    <w:p>
      <w:pPr>
        <w:numPr>
          <w:ilvl w:val="0"/>
          <w:numId w:val="1003"/>
        </w:numPr>
        <w:pStyle w:val="Compact"/>
      </w:pPr>
      <w:r>
        <w:rPr>
          <w:bCs/>
          <w:b/>
        </w:rPr>
        <w:t xml:space="preserve">Advocacy and Defense:</w:t>
      </w:r>
      <w:r>
        <w:t xml:space="preserve"> Ensuring fair trials for defendants, particularly those involved in counter-terrorism cases where legal representation is most needed yet most vulnerable.</w:t>
      </w:r>
    </w:p>
    <w:p>
      <w:pPr>
        <w:numPr>
          <w:ilvl w:val="0"/>
          <w:numId w:val="1003"/>
        </w:numPr>
        <w:pStyle w:val="Compact"/>
      </w:pPr>
      <w:r>
        <w:rPr>
          <w:bCs/>
          <w:b/>
        </w:rPr>
        <w:t xml:space="preserve">Navigating Dual Systems: </w:t>
      </w:r>
      <w:r>
        <w:t xml:space="preserve">Lawyers must seamlessly integrate Islamic family law principles with modern civil codes regarding contracts, property, and corporate governance.</w:t>
      </w:r>
    </w:p>
    <w:p>
      <w:pPr>
        <w:numPr>
          <w:ilvl w:val="0"/>
          <w:numId w:val="1003"/>
        </w:numPr>
        <w:pStyle w:val="Compact"/>
      </w:pPr>
      <w:r>
        <w:rPr>
          <w:bCs/>
          <w:b/>
        </w:rPr>
        <w:t xml:space="preserve">Rights Protection: </w:t>
      </w:r>
      <w:r>
        <w:t xml:space="preserve">In Iraq, Baghdad, lawyers act as the first line of defense against executive overreach. They file petitions for habeas corpus and challenge unlawful detention procedures.</w:t>
      </w:r>
    </w:p>
    <w:p>
      <w:pPr>
        <w:numPr>
          <w:ilvl w:val="0"/>
          <w:numId w:val="1003"/>
        </w:numPr>
        <w:pStyle w:val="Compact"/>
      </w:pPr>
      <w:r>
        <w:rPr>
          <w:bCs/>
          <w:b/>
        </w:rPr>
        <w:t xml:space="preserve">Legal Education: </w:t>
      </w:r>
      <w:r>
        <w:t xml:space="preserve">A growing segment of the legal community in Iraq focuses on civic education, helping citizens understand their constitutional rights under the 2005 Constitution.</w:t>
      </w:r>
    </w:p>
    <w:bookmarkEnd w:id="26"/>
    <w:bookmarkStart w:id="27" w:name="contemporary-challenges"/>
    <w:p>
      <w:pPr>
        <w:pStyle w:val="Heading3"/>
      </w:pPr>
      <w:r>
        <w:t xml:space="preserve">5. Contemporary Challenges</w:t>
      </w:r>
    </w:p>
    <w:p>
      <w:pPr>
        <w:pStyle w:val="FirstParagraph"/>
      </w:pPr>
      <w:r>
        <w:t xml:space="preserve">The practice of law in Iraq, Baghdad is fraught with significant hurdles:</w:t>
      </w:r>
    </w:p>
    <w:p>
      <w:pPr>
        <w:numPr>
          <w:ilvl w:val="0"/>
          <w:numId w:val="1004"/>
        </w:numPr>
        <w:pStyle w:val="Compact"/>
      </w:pPr>
      <w:r>
        <w:rPr>
          <w:bCs/>
          <w:b/>
        </w:rPr>
        <w:t xml:space="preserve">Safety Concerns: </w:t>
      </w:r>
      <w:r>
        <w:t xml:space="preserve">Highest risk profile for legal professionals dealing with sensitive political or security cases.</w:t>
      </w:r>
    </w:p>
    <w:p>
      <w:pPr>
        <w:numPr>
          <w:ilvl w:val="0"/>
          <w:numId w:val="1004"/>
        </w:numPr>
        <w:pStyle w:val="Compact"/>
      </w:pPr>
      <w:r>
        <w:rPr>
          <w:bCs/>
          <w:b/>
        </w:rPr>
        <w:t xml:space="preserve">Bureaucratic Hurdles: </w:t>
      </w:r>
      <w:r>
        <w:t xml:space="preserve">Inefficiencies in the court registry systems in Iraq delay proceedings significantly, impacting client trust.</w:t>
      </w:r>
    </w:p>
    <w:p>
      <w:pPr>
        <w:numPr>
          <w:ilvl w:val="0"/>
          <w:numId w:val="1004"/>
        </w:numPr>
        <w:pStyle w:val="Compact"/>
      </w:pPr>
      <w:r>
        <w:rPr>
          <w:bCs/>
          <w:b/>
        </w:rPr>
        <w:t xml:space="preserve">Resource Disparity: </w:t>
      </w:r>
      <w:r>
        <w:t xml:space="preserve">A gap exists between well-funded corporate firms and individual practitioners serving low-income populations.</w:t>
      </w:r>
    </w:p>
    <w:bookmarkEnd w:id="27"/>
    <w:bookmarkStart w:id="28" w:name="future-outlook-recommendations"/>
    <w:p>
      <w:pPr>
        <w:pStyle w:val="Heading3"/>
      </w:pPr>
      <w:r>
        <w:t xml:space="preserve">6. Future Outlook &amp; Recommendations</w:t>
      </w:r>
    </w:p>
    <w:p>
      <w:pPr>
        <w:pStyle w:val="FirstParagraph"/>
      </w:pPr>
      <w:r>
        <w:t xml:space="preserve">To strengthen the legal profession in Iraq, Baghdad, the following recommendations are proposed:</w:t>
      </w:r>
    </w:p>
    <w:p>
      <w:pPr>
        <w:numPr>
          <w:ilvl w:val="0"/>
          <w:numId w:val="1005"/>
        </w:numPr>
        <w:pStyle w:val="Compact"/>
      </w:pPr>
      <w:r>
        <w:rPr>
          <w:bCs/>
          <w:b/>
        </w:rPr>
        <w:t xml:space="preserve">Digital Transformation: </w:t>
      </w:r>
      <w:r>
        <w:t xml:space="preserve">Adoption of e-courts and digital filing systems to reduce corruption and delay.</w:t>
      </w:r>
    </w:p>
    <w:p>
      <w:pPr>
        <w:numPr>
          <w:ilvl w:val="0"/>
          <w:numId w:val="1005"/>
        </w:numPr>
        <w:pStyle w:val="Compact"/>
      </w:pPr>
      <w:r>
        <w:rPr>
          <w:bCs/>
          <w:b/>
        </w:rPr>
        <w:t xml:space="preserve">Specialized Training: </w:t>
      </w:r>
      <w:r>
        <w:t xml:space="preserve">Enhanced continuing education programs focused on international arbitration, cyber law, and human rights.</w:t>
      </w:r>
    </w:p>
    <w:p>
      <w:pPr>
        <w:numPr>
          <w:ilvl w:val="0"/>
          <w:numId w:val="1005"/>
        </w:numPr>
        <w:pStyle w:val="Compact"/>
      </w:pPr>
      <w:r>
        <w:rPr>
          <w:bCs/>
          <w:b/>
        </w:rPr>
        <w:t xml:space="preserve">Mentorship Programs: </w:t>
      </w:r>
      <w:r>
        <w:t xml:space="preserve">Linking senior lawyers in Iraq with new graduates to foster ethical standards and professional resilience.</w:t>
      </w:r>
    </w:p>
    <w:bookmarkEnd w:id="28"/>
    <w:bookmarkStart w:id="29" w:name="conclusion"/>
    <w:p>
      <w:pPr>
        <w:pStyle w:val="Heading3"/>
      </w:pPr>
      <w:r>
        <w:t xml:space="preserve">7. Conclusion</w:t>
      </w:r>
    </w:p>
    <w:p>
      <w:pPr>
        <w:pStyle w:val="FirstParagraph"/>
      </w:pPr>
      <w:r>
        <w:t xml:space="preserve">The lawyer in Iraq, Baghdad stands at a pivotal moment in history. While the challenges are substantial—ranging from security issues to institutional legacy—the trajectory points toward greater professionalism and international integration. By continuing to bridge traditional values with modern legal necessities, lawyers in Iraq are not only defending individual clients but also constructing the foundation for a robust, democratic society. This poster underscores that supporting the legal profession is synonymous with supporting national stability.</w:t>
      </w:r>
    </w:p>
    <w:bookmarkEnd w:id="29"/>
    <w:bookmarkStart w:id="30" w:name="selected-references"/>
    <w:p>
      <w:pPr>
        <w:pStyle w:val="Heading3"/>
      </w:pPr>
      <w:r>
        <w:t xml:space="preserve">8. Selected References</w:t>
      </w:r>
    </w:p>
    <w:p>
      <w:pPr>
        <w:numPr>
          <w:ilvl w:val="0"/>
          <w:numId w:val="1006"/>
        </w:numPr>
        <w:pStyle w:val="Compact"/>
      </w:pPr>
      <w:r>
        <w:t xml:space="preserve">Khoury, F. (2019). *Judicial Independence in Post-Conflict Iraq*. Journal of Middle Eastern Law.</w:t>
      </w:r>
    </w:p>
    <w:p>
      <w:pPr>
        <w:numPr>
          <w:ilvl w:val="0"/>
          <w:numId w:val="1006"/>
        </w:numPr>
        <w:pStyle w:val="Compact"/>
      </w:pPr>
      <w:r>
        <w:t xml:space="preserve">Iraqi Bar Council Annual Report (2022). *Statistical Overview of Legal Practitioners in Baghdad*.</w:t>
      </w:r>
    </w:p>
    <w:p>
      <w:pPr>
        <w:numPr>
          <w:ilvl w:val="0"/>
          <w:numId w:val="1006"/>
        </w:numPr>
        <w:pStyle w:val="Compact"/>
      </w:pPr>
      <w:r>
        <w:t xml:space="preserve">Sadik, M. (2018). *The Impact of Sharia on Civil Litigation in Iraq*. Arab Law Quarterly.</w:t>
      </w:r>
    </w:p>
    <w:p>
      <w:pPr>
        <w:numPr>
          <w:ilvl w:val="0"/>
          <w:numId w:val="1006"/>
        </w:numPr>
        <w:pStyle w:val="Compact"/>
      </w:pPr>
      <w:r>
        <w:t xml:space="preserve">Hussein, A. &amp; Smith, J. (2021). *Rebuilding the Rule of Law: Case Studies from Baghdad Courts*. International Legal Studies Review.</w:t>
      </w:r>
    </w:p>
    <w:bookmarkEnd w:id="30"/>
    <w:p>
      <w:pPr>
        <w:pStyle w:val="FirstParagraph"/>
      </w:pPr>
      <w:r>
        <w:t xml:space="preserve">© 2023 Academic Poster Presentation. All Rights Reserved. Contact: research@university.edu.iq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Lawyer in Iraq, Baghdad</dc:title>
  <dc:creator/>
  <dc:language>en</dc:language>
  <cp:keywords/>
  <dcterms:created xsi:type="dcterms:W3CDTF">2026-07-29T18:20:36Z</dcterms:created>
  <dcterms:modified xsi:type="dcterms:W3CDTF">2026-07-29T18:20:36Z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