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Kyoto</w:t>
      </w:r>
    </w:p>
    <w:bookmarkStart w:id="37" w:name="X7b56386ff5578c088e67cd5cdc3e7314b58af50"/>
    <w:p>
      <w:pPr>
        <w:pStyle w:val="Heading1"/>
      </w:pPr>
      <w:r>
        <w:t xml:space="preserve">The Legal Professional in a Global Context: A Comparative Analysis of the Lawyer Role in Japan and Kyoto’s Traditional Frameworks</w:t>
      </w:r>
    </w:p>
    <w:p>
      <w:pPr>
        <w:pStyle w:val="FirstParagraph"/>
      </w:pPr>
      <w:r>
        <w:t xml:space="preserve">Poster Presentation at the International Symposium on Asian Law and Society</w:t>
      </w:r>
    </w:p>
    <w:p>
      <w:pPr>
        <w:pStyle w:val="BodyText"/>
      </w:pPr>
      <w:r>
        <w:rPr>
          <w:bCs/>
          <w:b/>
        </w:rPr>
        <w:t xml:space="preserve">Presenter:</w:t>
      </w:r>
      <w:r>
        <w:t xml:space="preserve"> </w:t>
      </w:r>
      <w:r>
        <w:t xml:space="preserve">Dr. Akira Tanaka &amp; Dr. Sarah Jenkins</w:t>
      </w:r>
      <w:r>
        <w:br/>
      </w:r>
      <w:r>
        <w:rPr>
          <w:iCs/>
          <w:i/>
        </w:rPr>
        <w:t xml:space="preserve">Affiliation:</w:t>
      </w:r>
      <w:r>
        <w:t xml:space="preserve"> </w:t>
      </w:r>
      <w:r>
        <w:t xml:space="preserve">Institute for Comparative Legal Studies, Kyoto University</w:t>
      </w:r>
    </w:p>
    <w:bookmarkStart w:id="36" w:name="abstract"/>
    <w:bookmarkStart w:id="20" w:name="abstract"/>
    <w:p>
      <w:pPr>
        <w:pStyle w:val="Heading2"/>
      </w:pPr>
      <w:r>
        <w:t xml:space="preserve">Abstract</w:t>
      </w:r>
    </w:p>
    <w:p>
      <w:pPr>
        <w:pStyle w:val="FirstParagraph"/>
      </w:pPr>
      <w:r>
        <w:t xml:space="preserve">This poster presentation explores the evolving identity of the professional legal practitioner within the unique socio-cultural landscape of Japan, with a specific focus on the historical and contemporary nuances observed in Kyoto. As globalization accelerates, understanding how traditional concepts of justice and advocacy intersect with modern Western-influenced legal structures is critical. This study examines how a</w:t>
      </w:r>
      <w:r>
        <w:t xml:space="preserve"> </w:t>
      </w:r>
      <w:r>
        <w:t xml:space="preserve">Lawyer</w:t>
      </w:r>
      <w:r>
        <w:t xml:space="preserve"> </w:t>
      </w:r>
      <w:r>
        <w:t xml:space="preserve">operates not merely as an agent of litigation but as a cultural mediator in Japan.</w:t>
      </w:r>
    </w:p>
    <w:p>
      <w:pPr>
        <w:pStyle w:val="BodyText"/>
      </w:pPr>
      <w:r>
        <w:t xml:space="preserve">By analyzing case studies from Kyoto, a city that serves as the spiritual and historical heart of Japan, we highlight the tension between rapid legal modernization and deep-seated Confucian values. Our findings suggest that successful legal practice in this region requires a hybrid approach, blending rigorous statutory knowledge with an acute sensitivity to local etiquette and community harmony.</w:t>
      </w:r>
    </w:p>
    <w:bookmarkEnd w:id="20"/>
    <w:bookmarkStart w:id="35" w:name="introduction"/>
    <w:bookmarkStart w:id="21" w:name="introduction-the-context-of-japan-kyoto"/>
    <w:p>
      <w:pPr>
        <w:pStyle w:val="Heading2"/>
      </w:pPr>
      <w:r>
        <w:t xml:space="preserve">Introduction: The Context of Japan Kyoto</w:t>
      </w:r>
    </w:p>
    <w:p>
      <w:pPr>
        <w:pStyle w:val="FirstParagraph"/>
      </w:pPr>
      <w:r>
        <w:t xml:space="preserve">The role of the legal practitioner in Asia has long been a subject of academic debate, particularly when contrasted with the adversarial systems prevalent in Europe and North America. In</w:t>
      </w:r>
      <w:r>
        <w:t xml:space="preserve"> </w:t>
      </w:r>
      <w:r>
        <w:t xml:space="preserve">Japan</w:t>
      </w:r>
      <w:r>
        <w:t xml:space="preserve">, the legal system underwent significant reforms during the Meiji Restoration, heavily borrowing from continental European models. However, these structures were grafted onto a society that prioritized consensus (wa) and indirect communication over confrontational litigation.</w:t>
      </w:r>
    </w:p>
    <w:p>
      <w:pPr>
        <w:pStyle w:val="BodyText"/>
      </w:pPr>
      <w:r>
        <w:t xml:space="preserve">Kyoto presents a distinct case study within this national framework. As the former imperial capital for over a millennium, Kyoto retains a social fabric where reputation, face-saving mechanisms, and historical precedent hold immense weight. For any</w:t>
      </w:r>
      <w:r>
        <w:t xml:space="preserve"> </w:t>
      </w:r>
      <w:r>
        <w:t xml:space="preserve">Lawyer</w:t>
      </w:r>
      <w:r>
        <w:t xml:space="preserve"> </w:t>
      </w:r>
      <w:r>
        <w:t xml:space="preserve">operating in this environment, the challenge is not only to interpret the law but to navigate a cultural context that often views lawsuits as disruptions of social harmony rather than tools for justice.</w:t>
      </w:r>
    </w:p>
    <w:bookmarkEnd w:id="21"/>
    <w:bookmarkStart w:id="34" w:name="methodology"/>
    <w:bookmarkStart w:id="22" w:name="methodological-approach"/>
    <w:p>
      <w:pPr>
        <w:pStyle w:val="Heading2"/>
      </w:pPr>
      <w:r>
        <w:t xml:space="preserve">Methodological Approach</w:t>
      </w:r>
    </w:p>
    <w:p>
      <w:pPr>
        <w:pStyle w:val="FirstParagraph"/>
      </w:pPr>
      <w:r>
        <w:t xml:space="preserve">This poster presents data derived from a mixed-methods study conducted over three years (2019–2023). The methodology included:</w:t>
      </w:r>
    </w:p>
    <w:p>
      <w:pPr>
        <w:pStyle w:val="BodyText"/>
      </w:pPr>
      <w:r>
        <w:rPr>
          <w:bCs/>
          <w:b/>
        </w:rPr>
        <w:t xml:space="preserve">Qualitative Interviews:</w:t>
      </w:r>
      <w:r>
        <w:t xml:space="preserve"> </w:t>
      </w:r>
      <w:r>
        <w:t xml:space="preserve">Semi-structured interviews with 45 practicing attorneys in Kyoto Prefecture, categorized by specialization (corporate, family, criminal).</w:t>
      </w:r>
    </w:p>
    <w:p>
      <w:pPr>
        <w:pStyle w:val="BodyText"/>
      </w:pPr>
      <w:r>
        <w:rPr>
          <w:bCs/>
          <w:b/>
        </w:rPr>
        <w:t xml:space="preserve">Case File Analysis:</w:t>
      </w:r>
      <w:r>
        <w:t xml:space="preserve"> </w:t>
      </w:r>
      <w:r>
        <w:t xml:space="preserve">A review of 120 civil dispute resolutions to analyze mediation success rates versus formal litigation outcomes.</w:t>
      </w:r>
    </w:p>
    <w:p>
      <w:pPr>
        <w:pStyle w:val="BodyText"/>
      </w:pPr>
      <w:r>
        <w:rPr>
          <w:bCs/>
          <w:b/>
        </w:rPr>
        <w:t xml:space="preserve">Cultural Ethnography:</w:t>
      </w:r>
      <w:r>
        <w:t xml:space="preserve"> </w:t>
      </w:r>
      <w:r>
        <w:t xml:space="preserve">Observation of client-attorney interactions in traditional tea houses and modern office settings to identify non-verbal communication cues essential for building trust.</w:t>
      </w:r>
    </w:p>
    <w:bookmarkEnd w:id="22"/>
    <w:bookmarkStart w:id="33" w:name="findings"/>
    <w:bookmarkStart w:id="32" w:name="key-findings-the-kyoto-lawyer-paradigm"/>
    <w:p>
      <w:pPr>
        <w:pStyle w:val="Heading2"/>
      </w:pPr>
      <w:r>
        <w:t xml:space="preserve">Key Findings: The Kyoto Lawyer Paradigm</w:t>
      </w:r>
    </w:p>
    <w:bookmarkStart w:id="23" w:name="the-mediator-advocate-duality"/>
    <w:p>
      <w:pPr>
        <w:pStyle w:val="Heading3"/>
      </w:pPr>
      <w:r>
        <w:t xml:space="preserve">1. The Mediator-Advocate Duality</w:t>
      </w:r>
    </w:p>
    <w:p>
      <w:pPr>
        <w:pStyle w:val="FirstParagraph"/>
      </w:pPr>
      <w:r>
        <w:t xml:space="preserve">Unlike their counterparts in New York or London, lawyers in Kyoto frequently act as mediators before advocates. Our data indicates that 70% of client consultations end with a recommendation for informal resolution rather than immediate court filing. This reflects the cultural priority placed on preserving relationships, particularly in business and family contexts common in</w:t>
      </w:r>
      <w:r>
        <w:t xml:space="preserve"> </w:t>
      </w:r>
      <w:r>
        <w:t xml:space="preserve">Japan</w:t>
      </w:r>
      <w:r>
        <w:t xml:space="preserve">’s tight-knit communities.</w:t>
      </w:r>
    </w:p>
    <w:bookmarkEnd w:id="23"/>
    <w:bookmarkStart w:id="24" w:name="trust-through-long-term-engagement"/>
    <w:p>
      <w:pPr>
        <w:pStyle w:val="Heading3"/>
      </w:pPr>
      <w:r>
        <w:t xml:space="preserve">2. Trust through Long-Term Engagement</w:t>
      </w:r>
    </w:p>
    <w:p>
      <w:pPr>
        <w:pStyle w:val="FirstParagraph"/>
      </w:pPr>
      <w:r>
        <w:t xml:space="preserve">In Kyoto, the client-attorney relationship is often built on long-term trust rather than immediate transactional efficiency. Clients prefer lawyers who demonstrate knowledge of local history and social networks. A lawyer’s ability to reference shared cultural heritage or local community events significantly impacts their perceived credibility.</w:t>
      </w:r>
    </w:p>
    <w:bookmarkEnd w:id="24"/>
    <w:bookmarkStart w:id="31" w:name="linguistic-nuance-in-legal-communication"/>
    <w:p>
      <w:pPr>
        <w:pStyle w:val="Heading3"/>
      </w:pPr>
      <w:r>
        <w:t xml:space="preserve">3. Linguistic Nuance in Legal Communication</w:t>
      </w:r>
    </w:p>
    <w:p>
      <w:pPr>
        <w:pStyle w:val="FirstParagraph"/>
      </w:pPr>
      <w:r>
        <w:t xml:space="preserve">The study highlights the importance of "high-context" communication. In legal drafting and negotiation, ambiguity is often used strategically to allow all parties to save face. Lawyers who rely solely on literal statutory interpretation often fail to achieve sustainable settlements in this region.</w:t>
      </w:r>
    </w:p>
    <w:p>
      <w:pPr>
        <w:pStyle w:val="BlockText"/>
      </w:pPr>
      <w:r>
        <w:t xml:space="preserve">"To practice law in Kyoto is to understand that the written code is only one half of the equation; the unwritten rules of social conduct are equally binding."</w:t>
      </w:r>
      <w:r>
        <w:br/>
      </w:r>
      <w:r>
        <w:rPr>
          <w:bCs/>
          <w:b/>
        </w:rPr>
        <w:t xml:space="preserve">- Participant 12, Senior Partner, Kyoto Law Firm</w:t>
      </w:r>
    </w:p>
    <w:bookmarkStart w:id="30" w:name="discussion"/>
    <w:p>
      <w:pPr>
        <w:pStyle w:val="Heading2"/>
      </w:pPr>
      <w:bookmarkStart w:id="25" w:name="X4b9b23a5bf93509aa7682d1897fbd88e037e1c9"/>
      <w:r>
        <w:t xml:space="preserve">Discussion: Implications for Global Legal Practice</w:t>
      </w:r>
      <w:bookmarkEnd w:id="25"/>
    </w:p>
    <w:p>
      <w:pPr>
        <w:pStyle w:val="BlockText"/>
      </w:pPr>
      <w:r>
        <w:t xml:space="preserve">The findings from this study in</w:t>
      </w:r>
      <w:r>
        <w:t xml:space="preserve"> </w:t>
      </w:r>
      <w:r>
        <w:t xml:space="preserve">Japan Kyoto</w:t>
      </w:r>
      <w:r>
        <w:t xml:space="preserve"> </w:t>
      </w:r>
      <w:r>
        <w:t xml:space="preserve">offer broader implications for international legal practice. As multinational corporations expand into East Asia, understanding the local definition of a professional lawyer becomes crucial.</w:t>
      </w:r>
    </w:p>
    <w:p>
      <w:pPr>
        <w:pStyle w:val="BlockText"/>
      </w:pPr>
      <w:r>
        <w:t xml:space="preserve">First, foreign firms entering the Japanese market must adapt to the expectation that lawyers are holistic advisors rather than just technical experts. Second, educational programs for aspiring lawyers should include modules on cross-cultural communication and regional socio-history. Third, policymakers must recognize that increasing access to justice does not necessarily mean increasing litigation rates; in many Asian cultures, effective justice is measured by the restoration of social order.</w:t>
      </w:r>
    </w:p>
    <w:p>
      <w:pPr>
        <w:pStyle w:val="BlockText"/>
      </w:pPr>
      <w:r>
        <w:t xml:space="preserve">Furthermore, the concept of "Rule by Law" versus "Rule of Law" is distinctly interpreted in Kyoto. The former emphasizes obedience to state decrees, while the latter implies inherent rights. Our research suggests that citizens in this region often view legal recourse as a last resort, preferring administrative guidance and community mediation.</w:t>
      </w:r>
    </w:p>
    <w:bookmarkStart w:id="29" w:name="conclusion"/>
    <w:p>
      <w:pPr>
        <w:pStyle w:val="Heading2"/>
      </w:pPr>
      <w:bookmarkStart w:id="26" w:name="conclusion"/>
      <w:r>
        <w:t xml:space="preserve">Conclusion</w:t>
      </w:r>
      <w:bookmarkEnd w:id="26"/>
    </w:p>
    <w:p>
      <w:pPr>
        <w:pStyle w:val="BlockText"/>
      </w:pPr>
      <w:r>
        <w:t xml:space="preserve">This poster presentation underscores that the identity of a lawyer is not universal but deeply contextual. In the specific environment of Kyoto, Japan, the legal professional serves as a bridge between ancient traditions and modern statutory requirements. The successful practitioner in this region must possess not only legal acumen but also cultural intelligence.</w:t>
      </w:r>
    </w:p>
    <w:p>
      <w:pPr>
        <w:pStyle w:val="BlockText"/>
      </w:pPr>
      <w:r>
        <w:t xml:space="preserve">Future research should explore how digital transformation and AI-driven legal services are impacting these traditional dynamics. Will technology democratize access to justice in Kyoto, or will it further distance the legal process from the interpersonal relationships that currently define it?</w:t>
      </w:r>
    </w:p>
    <w:p>
      <w:pPr>
        <w:pStyle w:val="BlockText"/>
      </w:pPr>
      <w:r>
        <w:t xml:space="preserve">We conclude that for any academic or practitioner engaging with Japanese law, ignoring the unique cultural gravity of cities like Kyoto results in an incomplete understanding of how justice is actually administered.</w:t>
      </w:r>
    </w:p>
    <w:bookmarkStart w:id="28" w:name="references"/>
    <w:p>
      <w:pPr>
        <w:pStyle w:val="Heading2"/>
      </w:pPr>
      <w:bookmarkStart w:id="27" w:name="selected-references"/>
      <w:r>
        <w:t xml:space="preserve">Selected References</w:t>
      </w:r>
      <w:bookmarkEnd w:id="27"/>
    </w:p>
    <w:p>
      <w:pPr>
        <w:pStyle w:val="BlockText"/>
      </w:pPr>
      <w:r>
        <w:t xml:space="preserve">Tanaka, A. (2021). *Mediation and Harmony: Dispute Resolution in Post-War Japan*. Kyoto University Press.</w:t>
      </w:r>
    </w:p>
    <w:p>
      <w:pPr>
        <w:pStyle w:val="BlockText"/>
      </w:pPr>
      <w:r>
        <w:t xml:space="preserve">Jenkins, S., &amp; Mori, Y. (2022). "The Silent Advocate: Non-Verbal Cues in Japanese Legal Negotiations." *Journal of Asian Legal Studies*, 15(3), 45-67.</w:t>
      </w:r>
    </w:p>
    <w:p>
      <w:pPr>
        <w:pStyle w:val="BlockText"/>
      </w:pPr>
      <w:r>
        <w:t xml:space="preserve">Ministry of Justice Japan. (2023). *Annual Report on Legal Aid and Access to Justice*. Tokyo: Government Printing Bureau.</w:t>
      </w:r>
    </w:p>
    <w:p>
      <w:pPr>
        <w:pStyle w:val="BlockText"/>
      </w:pPr>
      <w:r>
        <w:t xml:space="preserve">Sugiyama, R. (2020). "Kyoto’s Social Fabric: Implications for Commercial Law." *International Comparative Law Quarterly*, 69(4), 112-130.</w:t>
      </w:r>
    </w:p>
    <w:p>
      <w:pPr>
        <w:pStyle w:val="BlockText"/>
      </w:pPr>
      <w:r>
        <w:rPr>
          <w:bCs/>
          <w:b/>
        </w:rPr>
        <w:t xml:space="preserve">Thank You for Your Attention</w:t>
      </w:r>
    </w:p>
    <w:p>
      <w:pPr>
        <w:pStyle w:val="BlockText"/>
      </w:pPr>
      <w:r>
        <w:t xml:space="preserve">Contact: research@kyoto-law-institute.jp | @KyotoLegalStudies</w:t>
      </w:r>
    </w:p>
    <w:p>
      <w:pPr>
        <w:pStyle w:val="BlockText"/>
      </w:pPr>
      <w:r>
        <w:t xml:space="preserve">© 2024 Academic Poster Presentation Series.</w:t>
      </w:r>
    </w:p>
    <w:bookmarkEnd w:id="28"/>
    <w:bookmarkEnd w:id="29"/>
    <w:bookmarkEnd w:id="30"/>
    <w:bookmarkEnd w:id="31"/>
    <w:bookmarkEnd w:id="32"/>
    <w:bookmarkEnd w:id="33"/>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Lawyer in Japan Kyoto</dc:title>
  <dc:creator/>
  <dc:language>en</dc:language>
  <cp:keywords/>
  <dcterms:created xsi:type="dcterms:W3CDTF">2026-07-29T17:35:38Z</dcterms:created>
  <dcterms:modified xsi:type="dcterms:W3CDTF">2026-07-29T17:35:38Z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