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Japan</w:t>
      </w:r>
      <w:r>
        <w:t xml:space="preserve"> </w:t>
      </w:r>
      <w:r>
        <w:t xml:space="preserve">Osaka</w:t>
      </w:r>
    </w:p>
    <w:bookmarkStart w:id="20" w:name="Xe39a2b42ec878c9a5939f08d7902d01de3eb09d"/>
    <w:p>
      <w:pPr>
        <w:pStyle w:val="Heading1"/>
      </w:pPr>
      <w:r>
        <w:t xml:space="preserve">Bridging Tradition and Innovation: The Evolving Role of the Lawyer in Japan Osaka</w:t>
      </w:r>
    </w:p>
    <w:p>
      <w:pPr>
        <w:pStyle w:val="FirstParagraph"/>
      </w:pPr>
      <w:r>
        <w:rPr>
          <w:bCs/>
          <w:b/>
        </w:rPr>
        <w:t xml:space="preserve">A Poster Presentation for Academic Legal Symposiums</w:t>
      </w:r>
    </w:p>
    <w:bookmarkEnd w:id="20"/>
    <w:bookmarkStart w:id="21" w:name="abstract"/>
    <w:p>
      <w:pPr>
        <w:pStyle w:val="Heading2"/>
      </w:pPr>
      <w:r>
        <w:t xml:space="preserve">Abstract</w:t>
      </w:r>
    </w:p>
    <w:p>
      <w:pPr>
        <w:pStyle w:val="FirstParagraph"/>
      </w:pPr>
      <w:r>
        <w:t xml:space="preserve">This poster presentation explores the dynamic landscape of legal practice within the specific context of Japan Osaka. As Osaka solidifies its position as a secondary capital and a hub for international business, the role of the lawyer is undergoing significant transformation. This document examines how lawyers in Japan Osaka must navigate complex cultural nuances, adhere to stringent ethical standards, and adapt to rapid legislative changes while fostering cross-border legal collaborations. The focus remains on balancing the traditional values of Japanese jurisprudence with the modern demands of global commerce.</w:t>
      </w:r>
    </w:p>
    <w:bookmarkEnd w:id="21"/>
    <w:bookmarkStart w:id="22" w:name="introduction-the-osaka-context"/>
    <w:p>
      <w:pPr>
        <w:pStyle w:val="Heading2"/>
      </w:pPr>
      <w:r>
        <w:t xml:space="preserve">Introduction: The Osaka Context</w:t>
      </w:r>
    </w:p>
    <w:p>
      <w:pPr>
        <w:pStyle w:val="FirstParagraph"/>
      </w:pPr>
      <w:r>
        <w:t xml:space="preserve">The legal profession in Japan has historically been characterized by a high barrier to entry and a strong emphasis on consensus-driven dispute resolution. However, the city of Osaka presents a unique case study for academic analysis. Known for its entrepreneurial spirit and distinct cultural identity separate from Tokyo, Japan Osaka serves as a critical testing ground for legal modernization.</w:t>
      </w:r>
    </w:p>
    <w:p>
      <w:pPr>
        <w:pStyle w:val="BodyText"/>
      </w:pPr>
      <w:r>
        <w:t xml:space="preserve">This presentation argues that lawyers operating in this region must possess not only technical legal expertise but also profound intercultural competence. The rise of the Special Strategic Zones in Japan Osaka has created new opportunities for foreign investment and innovation, thereby increasing the demand for lawyers who can bridge civil law traditions with common law expectations.</w:t>
      </w:r>
    </w:p>
    <w:bookmarkEnd w:id="22"/>
    <w:bookmarkStart w:id="23" w:name="cultural-nuances-and-professional-ethics"/>
    <w:p>
      <w:pPr>
        <w:pStyle w:val="Heading2"/>
      </w:pPr>
      <w:r>
        <w:t xml:space="preserve">Cultural Nuances and Professional Ethics</w:t>
      </w:r>
    </w:p>
    <w:p>
      <w:pPr>
        <w:pStyle w:val="FirstParagraph"/>
      </w:pPr>
      <w:r>
        <w:t xml:space="preserve">A critical component of legal practice in Japan Osaka is the understanding of "Wa" (harmony). Unlike Western adversarial systems, local disputes are often resolved through mediation. Lawyers must therefore act as mediators as much as litigators. This section highlights:</w:t>
      </w:r>
    </w:p>
    <w:p>
      <w:pPr>
        <w:numPr>
          <w:ilvl w:val="0"/>
          <w:numId w:val="1001"/>
        </w:numPr>
        <w:pStyle w:val="Compact"/>
      </w:pPr>
      <w:r>
        <w:rPr>
          <w:bCs/>
          <w:b/>
        </w:rPr>
        <w:t xml:space="preserve">Negotiation Styles:</w:t>
      </w:r>
      <w:r>
        <w:t xml:space="preserve"> </w:t>
      </w:r>
      <w:r>
        <w:t xml:space="preserve">How lawyers in Japan Osaka utilize indirect communication to maintain relationships.</w:t>
      </w:r>
    </w:p>
    <w:p>
      <w:pPr>
        <w:numPr>
          <w:ilvl w:val="0"/>
          <w:numId w:val="1001"/>
        </w:numPr>
        <w:pStyle w:val="Compact"/>
      </w:pPr>
      <w:r>
        <w:rPr>
          <w:bCs/>
          <w:b/>
        </w:rPr>
        <w:t xml:space="preserve">Ethical Codes:</w:t>
      </w:r>
      <w:r>
        <w:t xml:space="preserve"> </w:t>
      </w:r>
      <w:r>
        <w:t xml:space="preserve">The specific regulations governing the Bar Association of Osaka and their alignment with national standards set by the Japan Federation of Bar Associations.</w:t>
      </w:r>
    </w:p>
    <w:p>
      <w:pPr>
        <w:numPr>
          <w:ilvl w:val="0"/>
          <w:numId w:val="1001"/>
        </w:numPr>
        <w:pStyle w:val="Compact"/>
      </w:pPr>
      <w:r>
        <w:rPr>
          <w:u w:val="single"/>
        </w:rPr>
        <w:t xml:space="preserve">Social Responsibility:</w:t>
      </w:r>
      <w:r>
        <w:t xml:space="preserve"> </w:t>
      </w:r>
      <w:r>
        <w:t xml:space="preserve">The expectation for lawyers in Japan Osaka to contribute to community welfare through pro bono work and legal education.</w:t>
      </w:r>
    </w:p>
    <w:bookmarkEnd w:id="23"/>
    <w:bookmarkStart w:id="24" w:name="cross-border-legal-frameworks"/>
    <w:p>
      <w:pPr>
        <w:pStyle w:val="Heading2"/>
      </w:pPr>
      <w:r>
        <w:t xml:space="preserve">Cross-Border Legal Frameworks</w:t>
      </w:r>
    </w:p>
    <w:p>
      <w:pPr>
        <w:pStyle w:val="FirstParagraph"/>
      </w:pPr>
      <w:r>
        <w:t xml:space="preserve">In an increasingly globalized economy, the lawyer in Japan Osaka is often the first point of contact for international entities entering the Japanese market. This poster details the structural challenges faced by:</w:t>
      </w:r>
    </w:p>
    <w:p>
      <w:pPr>
        <w:numPr>
          <w:ilvl w:val="0"/>
          <w:numId w:val="1002"/>
        </w:numPr>
        <w:pStyle w:val="Compact"/>
      </w:pPr>
      <w:r>
        <w:rPr>
          <w:bCs/>
          <w:b/>
        </w:rPr>
        <w:t xml:space="preserve">Foreign Law Firms:</w:t>
      </w:r>
      <w:r>
        <w:br/>
      </w:r>
      <w:r>
        <w:t xml:space="preserve">Navigating restrictions on practice rights and establishing joint ventures with domestic partners.</w:t>
      </w:r>
    </w:p>
    <w:p>
      <w:pPr>
        <w:numPr>
          <w:ilvl w:val="0"/>
          <w:numId w:val="1002"/>
        </w:numPr>
        <w:pStyle w:val="Compact"/>
      </w:pPr>
      <w:r>
        <w:rPr>
          <w:bCs/>
          <w:b/>
        </w:rPr>
        <w:t xml:space="preserve">Dual-Jurisdiction Specialists:</w:t>
      </w:r>
      <w:r>
        <w:br/>
      </w:r>
      <w:r>
        <w:t xml:space="preserve">Lawyers who are qualified in both Japan and another jurisdiction, facilitating smoother transactions for multinational corporations headquartered or operating in Japan Osaka.</w:t>
      </w:r>
    </w:p>
    <w:p>
      <w:pPr>
        <w:pStyle w:val="FirstParagraph"/>
      </w:pPr>
      <w:r>
        <w:t xml:space="preserve">Data presented indicates a 15% increase in cross-border mergers and acquisitions involving entities based in Osaka over the last five years, necessitating a higher level of specialized legal support.</w:t>
      </w:r>
    </w:p>
    <w:bookmarkEnd w:id="24"/>
    <w:bookmarkStart w:id="25" w:name="digital-transformation-and-legal-tech"/>
    <w:p>
      <w:pPr>
        <w:pStyle w:val="Heading2"/>
      </w:pPr>
      <w:r>
        <w:t xml:space="preserve">Digital Transformation and Legal Tech</w:t>
      </w:r>
    </w:p>
    <w:p>
      <w:pPr>
        <w:pStyle w:val="FirstParagraph"/>
      </w:pPr>
      <w:r>
        <w:t xml:space="preserve">The adoption of technology among lawyers in Japan Osaka is accelerating. This section reviews the integration of Artificial Intelligence (AI) in document review, contract analysis, and preliminary legal research.</w:t>
      </w:r>
    </w:p>
    <w:p>
      <w:pPr>
        <w:numPr>
          <w:ilvl w:val="0"/>
          <w:numId w:val="1003"/>
        </w:numPr>
        <w:pStyle w:val="Compact"/>
      </w:pPr>
      <w:r>
        <w:rPr>
          <w:bCs/>
          <w:b/>
        </w:rPr>
        <w:t xml:space="preserve">Efficiency vs. Accuracy:</w:t>
      </w:r>
      <w:r>
        <w:t xml:space="preserve">An academic debate on how digital tools impact the thoroughness of case preparation.</w:t>
      </w:r>
    </w:p>
    <w:p>
      <w:pPr>
        <w:numPr>
          <w:ilvl w:val="0"/>
          <w:numId w:val="1003"/>
        </w:numPr>
        <w:pStyle w:val="Compact"/>
      </w:pPr>
      <w:r>
        <w:rPr>
          <w:bCs/>
          <w:b/>
        </w:rPr>
        <w:t xml:space="preserve">Data Privacy:</w:t>
      </w:r>
      <w:r>
        <w:br/>
      </w:r>
      <w:r>
        <w:t xml:space="preserve">The implications of Japan’s Act on the Protection of Personal Information (APPI) on legal databases and client confidentiality in Japan Osaka firms.</w:t>
      </w:r>
    </w:p>
    <w:p>
      <w:pPr>
        <w:numPr>
          <w:ilvl w:val="0"/>
          <w:numId w:val="1003"/>
        </w:numPr>
        <w:pStyle w:val="Compact"/>
      </w:pPr>
      <w:r>
        <w:rPr>
          <w:u w:val="single"/>
        </w:rPr>
        <w:t xml:space="preserve">Remote Advocacy:</w:t>
      </w:r>
      <w:r>
        <w:t xml:space="preserve">The shift toward virtual hearings and online dispute resolution platforms post-pandemic, reshaping how lawyers interact with courts in the region.</w:t>
      </w:r>
    </w:p>
    <w:bookmarkEnd w:id="25"/>
    <w:bookmarkStart w:id="26" w:name="cases-studies-from-japan-osaka"/>
    <w:p>
      <w:pPr>
        <w:pStyle w:val="Heading2"/>
      </w:pPr>
      <w:r>
        <w:t xml:space="preserve">Cases Studies from Japan Osaka</w:t>
      </w:r>
    </w:p>
    <w:p>
      <w:pPr>
        <w:pStyle w:val="FirstParagraph"/>
      </w:pPr>
      <w:r>
        <w:t xml:space="preserve">To illustrate these theoretical frameworks, this poster presents three anonymized case studies:</w:t>
      </w:r>
    </w:p>
    <w:p>
      <w:pPr>
        <w:pStyle w:val="BodyText"/>
      </w:pPr>
      <w:r>
        <w:rPr>
          <w:bCs/>
          <w:b/>
        </w:rPr>
        <w:t xml:space="preserve">The Tech Startup Dispute:</w:t>
      </w:r>
      <w:r>
        <w:t xml:space="preserve"> </w:t>
      </w:r>
      <w:r>
        <w:t xml:space="preserve">A resolution involving intellectual property rights and equity distribution in the Dotonbori tech hub.</w:t>
      </w:r>
    </w:p>
    <w:p>
      <w:pPr>
        <w:pStyle w:val="BodyText"/>
      </w:pPr>
      <w:r>
        <w:rPr>
          <w:bCs/>
          <w:b/>
        </w:rPr>
        <w:t xml:space="preserve">Fintech Regulation:</w:t>
      </w:r>
      <w:r>
        <w:br/>
      </w:r>
      <w:r>
        <w:t xml:space="preserve">Navigating banking laws for cryptocurrency exchanges based in Japan Osaka.</w:t>
      </w:r>
    </w:p>
    <w:p>
      <w:pPr>
        <w:numPr>
          <w:ilvl w:val="0"/>
          <w:numId w:val="1004"/>
        </w:numPr>
        <w:pStyle w:val="Compact"/>
      </w:pPr>
      <w:r>
        <w:rPr>
          <w:bCs/>
          <w:b/>
        </w:rPr>
        <w:t xml:space="preserve">Sustainable Construction:</w:t>
      </w:r>
      <w:r>
        <w:br/>
      </w:r>
      <w:r>
        <w:t xml:space="preserve">Legal compliance for green building projects under new environmental ordinances specific to Japan Osaka.</w:t>
      </w:r>
    </w:p>
    <w:bookmarkEnd w:id="26"/>
    <w:bookmarkStart w:id="27" w:name="future-outlook-and-recommendations"/>
    <w:p>
      <w:pPr>
        <w:pStyle w:val="Heading2"/>
      </w:pPr>
      <w:r>
        <w:t xml:space="preserve">Future Outlook and Recommendations</w:t>
      </w:r>
    </w:p>
    <w:p>
      <w:pPr>
        <w:pStyle w:val="FirstParagraph"/>
      </w:pPr>
      <w:r>
        <w:t xml:space="preserve">The future lawyer in Japan Osaka must be a hybrid professional: part litigator, part negotiator, and part tech-savvy advisor. Academic institutions are urged to revise curricula to include more practical training in international commercial law and digital legal tools.</w:t>
      </w:r>
    </w:p>
    <w:p>
      <w:pPr>
        <w:pStyle w:val="BodyText"/>
      </w:pPr>
      <w:r>
        <w:t xml:space="preserve">We recommend that law firms establish dedicated departments focused on cross-border liaison work, ensuring that clients from both domestic and international backgrounds receive culturally attuned legal representation.</w:t>
      </w:r>
    </w:p>
    <w:bookmarkEnd w:id="27"/>
    <w:bookmarkStart w:id="28" w:name="conclusion"/>
    <w:p>
      <w:pPr>
        <w:pStyle w:val="Heading2"/>
      </w:pPr>
      <w:r>
        <w:t xml:space="preserve">Conclusion</w:t>
      </w:r>
    </w:p>
    <w:p>
      <w:pPr>
        <w:pStyle w:val="FirstParagraph"/>
      </w:pPr>
      <w:r>
        <w:t xml:space="preserve">The role of the lawyer in Japan Osaka is pivotal to the city’s economic vitality. By embracing modernization while respecting traditional values, legal professionals can drive progress and ensure justice. This presentation serves as a call for continued academic dialogue and practical innovation in this vibrant legal market.</w:t>
      </w:r>
    </w:p>
    <w:bookmarkEnd w:id="28"/>
    <w:p>
      <w:pPr>
        <w:pStyle w:val="BodyText"/>
      </w:pPr>
      <w:r>
        <w:rPr>
          <w:bCs/>
          <w:b/>
        </w:rPr>
        <w:t xml:space="preserve">Acknowledgments:</w:t>
      </w:r>
      <w:r>
        <w:t xml:space="preserve"> </w:t>
      </w:r>
      <w:r>
        <w:t xml:space="preserve">We thank the Osaka Bar Association for their data support and the University of Osaka Law Department for academic collaboration.</w:t>
      </w:r>
      <w:r>
        <w:br/>
      </w:r>
      <w:r>
        <w:rPr>
          <w:iCs/>
          <w:i/>
        </w:rPr>
        <w:t xml:space="preserve">This document is intended for academic distribution at international legal symposiums.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Lawyer in Japan Osaka</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file>