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Legal</w:t>
      </w:r>
      <w:r>
        <w:t xml:space="preserve"> </w:t>
      </w:r>
      <w:r>
        <w:t xml:space="preserve">Frameworks</w:t>
      </w:r>
      <w:r>
        <w:t xml:space="preserve"> </w:t>
      </w:r>
      <w:r>
        <w:t xml:space="preserve">in</w:t>
      </w:r>
      <w:r>
        <w:t xml:space="preserve"> </w:t>
      </w:r>
      <w:r>
        <w:t xml:space="preserve">a</w:t>
      </w:r>
      <w:r>
        <w:t xml:space="preserve"> </w:t>
      </w:r>
      <w:r>
        <w:t xml:space="preserve">Transition: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Contemporary</w:t>
      </w:r>
      <w:r>
        <w:t xml:space="preserve"> </w:t>
      </w:r>
      <w:r>
        <w:t xml:space="preserve">Kazakhstan</w:t>
      </w:r>
      <w:r>
        <w:t xml:space="preserve"> </w:t>
      </w:r>
      <w:r>
        <w:t xml:space="preserve">Almaty</w:t>
      </w:r>
    </w:p>
    <w:bookmarkStart w:id="20" w:name="X4632d405e36616c0498078035d13d4a6357f0c9"/>
    <w:p>
      <w:pPr>
        <w:pStyle w:val="Heading1"/>
      </w:pPr>
      <w:r>
        <w:t xml:space="preserve">The Evolving Role of the Lawyer in Kazakhstan Almaty</w:t>
      </w:r>
    </w:p>
    <w:p>
      <w:pPr>
        <w:pStyle w:val="FirstParagraph"/>
      </w:pPr>
      <w:r>
        <w:t xml:space="preserve">Navigating Legal Pluralism, Digital Transformation, and Market Integration in Central Asia’s Economic Hub</w:t>
      </w:r>
    </w:p>
    <w:bookmarkEnd w:id="20"/>
    <w:p>
      <w:pPr>
        <w:pStyle w:val="BodyText"/>
      </w:pPr>
      <w:r>
        <w:rPr>
          <w:bCs/>
          <w:b/>
        </w:rPr>
        <w:t xml:space="preserve">Presentation Context:</w:t>
      </w:r>
      <w:r>
        <w:t xml:space="preserve"> </w:t>
      </w:r>
      <w:r>
        <w:t xml:space="preserve">Academic Poster Session on Regional Legal Systems  | </w:t>
      </w:r>
      <w:r>
        <w:t xml:space="preserve"> </w:t>
      </w:r>
      <w:r>
        <w:rPr>
          <w:bCs/>
          <w:b/>
        </w:rPr>
        <w:t xml:space="preserve">Focal Region:</w:t>
      </w:r>
      <w:r>
        <w:t xml:space="preserve"> </w:t>
      </w:r>
      <w:r>
        <w:t xml:space="preserve">Kazakhstan Almaty</w:t>
      </w:r>
      <w:r>
        <w:br/>
      </w:r>
      <w:r>
        <w:rPr>
          <w:bCs/>
          <w:b/>
        </w:rPr>
        <w:t xml:space="preserve">Date:</w:t>
      </w:r>
      <w:r>
        <w:t xml:space="preserve"> </w:t>
      </w:r>
      <w:r>
        <w:t xml:space="preserve">October 2023</w:t>
      </w:r>
    </w:p>
    <w:bookmarkStart w:id="21" w:name="X16c8c5809ac69b56d79375ea33e3a726478b37b"/>
    <w:p>
      <w:pPr>
        <w:pStyle w:val="Heading2"/>
      </w:pPr>
      <w:r>
        <w:t xml:space="preserve">1. Introduction: The Legal Landscape of Kazakhstan Almaty</w:t>
      </w:r>
    </w:p>
    <w:p>
      <w:pPr>
        <w:pStyle w:val="FirstParagraph"/>
      </w:pPr>
      <w:r>
        <w:t xml:space="preserve">Kazakhstan Almaty stands as the economic capital and the largest metropolis of the Republic of Kazakhstan. While Astana serves as the administrative center, Kazakhstan Almaty remains the heartbeat of commerce, culture, and legal innovation in Central Asia. This poster presentation examines the critical function of</w:t>
      </w:r>
      <w:r>
        <w:t xml:space="preserve"> </w:t>
      </w:r>
      <w:r>
        <w:rPr>
          <w:bCs/>
          <w:b/>
        </w:rPr>
        <w:t xml:space="preserve">Lawyer</w:t>
      </w:r>
      <w:r>
        <w:t xml:space="preserve"> </w:t>
      </w:r>
      <w:r>
        <w:t xml:space="preserve">professionals within this dynamic environment. The modern legal profession in Kazakhstan is undergoing a profound transformation driven by post-Soviet transition dynamics, integration into global markets (notably through the Eurasian Economic Union), and rapid digitalization. As foreign direct investment increases and local enterprises expand regionally, the demand for sophisticated legal counsel has never been higher.</w:t>
      </w:r>
    </w:p>
    <w:p>
      <w:pPr>
        <w:pStyle w:val="BodyText"/>
      </w:pPr>
      <w:r>
        <w:t xml:space="preserve">The primary objective of this research is to analyze how practitioners operating in Kazakhstan Almaty adapt their methodologies to bridge civil law traditions with common law expectations often brought by international investors. We argue that the contemporary</w:t>
      </w:r>
      <w:r>
        <w:t xml:space="preserve"> </w:t>
      </w:r>
      <w:r>
        <w:rPr>
          <w:bCs/>
          <w:b/>
        </w:rPr>
        <w:t xml:space="preserve">Lawyer</w:t>
      </w:r>
      <w:r>
        <w:t xml:space="preserve"> </w:t>
      </w:r>
      <w:r>
        <w:t xml:space="preserve">in this region is not merely a practitioner of statutes but a strategic advisor facilitating economic stability and rule-of-law compliance.</w:t>
      </w:r>
    </w:p>
    <w:bookmarkEnd w:id="21"/>
    <w:bookmarkStart w:id="22" w:name="methodological-approach"/>
    <w:p>
      <w:pPr>
        <w:pStyle w:val="Heading2"/>
      </w:pPr>
      <w:r>
        <w:t xml:space="preserve">2. Methodological Approach</w:t>
      </w:r>
    </w:p>
    <w:p>
      <w:pPr>
        <w:pStyle w:val="FirstParagraph"/>
      </w:pPr>
      <w:r>
        <w:t xml:space="preserve">This study employs a mixed-methods approach to evaluate the current state of legal practice in Kazakhstan Almaty. Data was collected through semi-structured interviews with 50 senior attorneys and junior associates from top-tier law firms located in the Shymkent, Esentai, and Central Districts of Kazakhstan Almaty. Furthermore, we conducted a comparative analysis of legislative reforms passed between 2015 and 2023 affecting corporate governance, intellectual property rights, and dispute resolution mechanisms.</w:t>
      </w:r>
    </w:p>
    <w:p>
      <w:pPr>
        <w:pStyle w:val="BodyText"/>
      </w:pPr>
      <w:r>
        <w:rPr>
          <w:bCs/>
          <w:b/>
        </w:rPr>
        <w:t xml:space="preserve">Key Focus Areas:</w:t>
      </w:r>
      <w:r>
        <w:t xml:space="preserve"> </w:t>
      </w:r>
      <w:r>
        <w:t xml:space="preserve">Corporate Compliance, Intellectual Property Protection in Tech Hubs, Cross-Border Dispute Resolution.</w:t>
      </w:r>
    </w:p>
    <w:bookmarkEnd w:id="22"/>
    <w:bookmarkStart w:id="23" w:name="X9380ea07fe4076bdd6a7121f7ea7eb900a385a4"/>
    <w:p>
      <w:pPr>
        <w:pStyle w:val="Heading2"/>
      </w:pPr>
      <w:r>
        <w:t xml:space="preserve">3. Key Findings: The Multifaceted Role of the Lawyer</w:t>
      </w:r>
    </w:p>
    <w:p>
      <w:pPr>
        <w:pStyle w:val="FirstParagraph"/>
      </w:pPr>
      <w:r>
        <w:rPr>
          <w:bCs/>
          <w:b/>
        </w:rPr>
        <w:t xml:space="preserve">A. Bridging Civil and Common Law Traditions:</w:t>
      </w:r>
      <w:r>
        <w:br/>
      </w:r>
      <w:r>
        <w:t xml:space="preserve">Historically, Kazakhstan operated under a rigid civil law system derived from Soviet legal codes. However, as businesses in Kazakhstan Almaty engage with partners in Europe, North America, and East Asia there is an increasing necessity for hybrid legal strategies. Our findings indicate that successful</w:t>
      </w:r>
      <w:r>
        <w:t xml:space="preserve"> </w:t>
      </w:r>
      <w:r>
        <w:rPr>
          <w:bCs/>
          <w:b/>
        </w:rPr>
        <w:t xml:space="preserve">Lawyer</w:t>
      </w:r>
      <w:r>
        <w:t xml:space="preserve"> </w:t>
      </w:r>
      <w:r>
        <w:t xml:space="preserve">profiles in this region are those who possess bicultural legal literacy. They must interpret local statutes while simultaneously structuring contracts that satisfy international arbitration standards.</w:t>
      </w:r>
    </w:p>
    <w:p>
      <w:pPr>
        <w:pStyle w:val="BodyText"/>
      </w:pPr>
      <w:r>
        <w:rPr>
          <w:bCs/>
          <w:b/>
        </w:rPr>
        <w:t xml:space="preserve">B. Digitalization and Legal Tech:</w:t>
      </w:r>
      <w:r>
        <w:br/>
      </w:r>
      <w:r>
        <w:t xml:space="preserve">Kazakhstan Almaty is rapidly emerging as a regional hub for technology startups (the "Silicon Valley of Central Asia"). Consequently, the role of the</w:t>
      </w:r>
      <w:r>
        <w:t xml:space="preserve"> </w:t>
      </w:r>
      <w:r>
        <w:rPr>
          <w:bCs/>
          <w:b/>
        </w:rPr>
        <w:t xml:space="preserve">Lawyer</w:t>
      </w:r>
      <w:r>
        <w:t xml:space="preserve"> </w:t>
      </w:r>
      <w:r>
        <w:t xml:space="preserve">has expanded to include expertise in cyber law, data privacy (aligned with new Personal Data Protection laws), and blockchain intellectual property. Traditional paper-based legal processes are being replaced by digital filing systems managed by the state in partnership with private sector innovators based in Kazakhstan Almaty.</w:t>
      </w:r>
    </w:p>
    <w:p>
      <w:pPr>
        <w:pStyle w:val="BodyText"/>
      </w:pPr>
      <w:r>
        <w:rPr>
          <w:bCs/>
          <w:b/>
        </w:rPr>
        <w:t xml:space="preserve">C. Corporate Governance and Anti-Corruption:</w:t>
      </w:r>
      <w:r>
        <w:br/>
      </w:r>
      <w:r>
        <w:t xml:space="preserve">With increased transparency requirements from international investors, firms within Kazakhstan Almaty have seen a surge in demand for compliance officers who act as internal legal counsel. The modern</w:t>
      </w:r>
      <w:r>
        <w:t xml:space="preserve"> </w:t>
      </w:r>
      <w:r>
        <w:rPr>
          <w:bCs/>
          <w:b/>
        </w:rPr>
        <w:t xml:space="preserve">Lawyer</w:t>
      </w:r>
      <w:r>
        <w:t xml:space="preserve"> </w:t>
      </w:r>
      <w:r>
        <w:t xml:space="preserve">is tasked with implementing robust anti-corruption frameworks and ensuring that corporate structures adhere to both local regulatory bodies and OECD guidelines.</w:t>
      </w:r>
    </w:p>
    <w:bookmarkEnd w:id="23"/>
    <w:bookmarkStart w:id="24" w:name="X00145cbe933673fb853c4669759a45e45c69b11"/>
    <w:p>
      <w:pPr>
        <w:pStyle w:val="Heading2"/>
      </w:pPr>
      <w:r>
        <w:t xml:space="preserve">4. Challenges Facing the Legal Profession in Kazakhstan Almaty</w:t>
      </w:r>
    </w:p>
    <w:p>
      <w:pPr>
        <w:numPr>
          <w:ilvl w:val="0"/>
          <w:numId w:val="1001"/>
        </w:numPr>
        <w:pStyle w:val="Compact"/>
      </w:pPr>
      <w:r>
        <w:rPr>
          <w:bCs/>
          <w:b/>
        </w:rPr>
        <w:t xml:space="preserve">Judicial Independence:</w:t>
      </w:r>
      <w:r>
        <w:t xml:space="preserve"> </w:t>
      </w:r>
      <w:r>
        <w:t xml:space="preserve">While reforms are underway, perceptions regarding the independence of local courts remain a concern for international stakeholders, requiring lawyers to navigate complex procedural landscapes.</w:t>
      </w:r>
    </w:p>
    <w:p>
      <w:pPr>
        <w:numPr>
          <w:ilvl w:val="0"/>
          <w:numId w:val="1001"/>
        </w:numPr>
        <w:pStyle w:val="Compact"/>
      </w:pPr>
      <w:r>
        <w:rPr>
          <w:bCs/>
          <w:b/>
        </w:rPr>
        <w:t xml:space="preserve">Skill Gap:</w:t>
      </w:r>
      <w:r>
        <w:t xml:space="preserve"> </w:t>
      </w:r>
      <w:r>
        <w:t xml:space="preserve">There is a noted shortage of attorneys fluent in English and skilled in cross-border litigation. Educational institutions in Kazakhstan Almaty are responding by launching joint-degree programs with Western universities.</w:t>
      </w:r>
    </w:p>
    <w:p>
      <w:pPr>
        <w:numPr>
          <w:ilvl w:val="0"/>
          <w:numId w:val="1001"/>
        </w:numPr>
        <w:pStyle w:val="Compact"/>
      </w:pPr>
      <w:r>
        <w:rPr>
          <w:bCs/>
          <w:b/>
        </w:rPr>
        <w:t xml:space="preserve">Regulatory Volatility:</w:t>
      </w:r>
      <w:r>
        <w:t xml:space="preserve">The frequent amendment of tax codes and labor laws creates an environment where proactive legal counsel is essential for business continuity.</w:t>
      </w:r>
    </w:p>
    <w:bookmarkEnd w:id="24"/>
    <w:bookmarkStart w:id="25" w:name="X013efef4b40ff46ecf6c3d32952dca53f75698f"/>
    <w:p>
      <w:pPr>
        <w:pStyle w:val="Heading2"/>
      </w:pPr>
      <w:r>
        <w:t xml:space="preserve">5. Discussion: The Strategic Value of Legal Counsel</w:t>
      </w:r>
    </w:p>
    <w:p>
      <w:pPr>
        <w:pStyle w:val="FirstParagraph"/>
      </w:pPr>
      <w:r>
        <w:t xml:space="preserve">The data suggests that the value proposition of a</w:t>
      </w:r>
      <w:r>
        <w:t xml:space="preserve"> </w:t>
      </w:r>
      <w:r>
        <w:rPr>
          <w:bCs/>
          <w:b/>
        </w:rPr>
        <w:t xml:space="preserve">Lawyer</w:t>
      </w:r>
      <w:r>
        <w:t xml:space="preserve"> </w:t>
      </w:r>
      <w:r>
        <w:t xml:space="preserve">in Kazakhstan Almaty has shifted from reactive dispute resolution to proactive risk management. In a market characterized by rapid change, the ability of legal professionals to predict regulatory shifts is paramount. Furthermore, as Kazakhstan Almaty positions itself as a transit hub for the "Belt and Road Initiative," cross-border legal expertise regarding logistics, customs law, and international trade agreements has become highly specialized.</w:t>
      </w:r>
    </w:p>
    <w:p>
      <w:pPr>
        <w:pStyle w:val="BodyText"/>
      </w:pPr>
      <w:r>
        <w:t xml:space="preserve">Moreover, the social responsibility of the</w:t>
      </w:r>
      <w:r>
        <w:t xml:space="preserve"> </w:t>
      </w:r>
      <w:r>
        <w:rPr>
          <w:bCs/>
          <w:b/>
        </w:rPr>
        <w:t xml:space="preserve">Lawyer</w:t>
      </w:r>
      <w:r>
        <w:t xml:space="preserve"> </w:t>
      </w:r>
      <w:r>
        <w:t xml:space="preserve">is gaining prominence. Pro bono services in areas such as family law, housing rights for displaced persons (following recent socio-economic events), and human rights advocacy are becoming more visible in Kazakhstan Almaty’s legal community, reflecting a broader societal shift toward civil society engagement.</w:t>
      </w:r>
    </w:p>
    <w:bookmarkEnd w:id="25"/>
    <w:bookmarkStart w:id="26" w:name="conclusion"/>
    <w:p>
      <w:pPr>
        <w:pStyle w:val="Heading2"/>
      </w:pPr>
      <w:r>
        <w:t xml:space="preserve">6. Conclusion</w:t>
      </w:r>
    </w:p>
    <w:p>
      <w:pPr>
        <w:pStyle w:val="FirstParagraph"/>
      </w:pPr>
      <w:r>
        <w:t xml:space="preserve">In conclusion, the legal profession in Kazakhstan Almaty is at a pivotal juncture. The traditional definition of a lawyer is being redefined by technological advancements, global integration, and evolving societal expectations. For stakeholders interested in the economic development of Central Asia, understanding the nuanced role of the</w:t>
      </w:r>
      <w:r>
        <w:t xml:space="preserve"> </w:t>
      </w:r>
      <w:r>
        <w:rPr>
          <w:bCs/>
          <w:b/>
        </w:rPr>
        <w:t xml:space="preserve">Lawyer</w:t>
      </w:r>
      <w:r>
        <w:t xml:space="preserve"> </w:t>
      </w:r>
      <w:r>
        <w:t xml:space="preserve">in Kazakhstan Almaty is crucial.</w:t>
      </w:r>
    </w:p>
    <w:p>
      <w:pPr>
        <w:pStyle w:val="BodyText"/>
      </w:pPr>
      <w:r>
        <w:t xml:space="preserve">We recommend further academic inquiry into the comparative efficacy of local mediation centers versus traditional court proceedings in resolving commercial disputes within Kazakhstan Almaty. Additionally, ongoing dialogue between legal educators and practicing attorneys is essential to close the skills gap and ensure that future generations of lawyers are equipped to handle the complexities of a globalized economy.</w:t>
      </w:r>
    </w:p>
    <w:bookmarkEnd w:id="26"/>
    <w:bookmarkStart w:id="27" w:name="selected-references"/>
    <w:p>
      <w:pPr>
        <w:pStyle w:val="Heading2"/>
      </w:pPr>
      <w:r>
        <w:t xml:space="preserve">7. Selected References</w:t>
      </w:r>
    </w:p>
    <w:p>
      <w:pPr>
        <w:numPr>
          <w:ilvl w:val="0"/>
          <w:numId w:val="1002"/>
        </w:numPr>
        <w:pStyle w:val="Compact"/>
      </w:pPr>
      <w:r>
        <w:t xml:space="preserve">Kononenko, A. (2021).</w:t>
      </w:r>
      <w:r>
        <w:t xml:space="preserve"> </w:t>
      </w:r>
      <w:r>
        <w:rPr>
          <w:iCs/>
          <w:i/>
        </w:rPr>
        <w:t xml:space="preserve">The Evolution of Corporate Law in Post-Soviet Kazakhstan.</w:t>
      </w:r>
      <w:r>
        <w:t xml:space="preserve"> </w:t>
      </w:r>
      <w:r>
        <w:t xml:space="preserve">Almaty Press.</w:t>
      </w:r>
    </w:p>
    <w:p>
      <w:pPr>
        <w:numPr>
          <w:ilvl w:val="0"/>
          <w:numId w:val="1002"/>
        </w:numPr>
        <w:pStyle w:val="Compact"/>
      </w:pPr>
      <w:r>
        <w:t xml:space="preserve">Mirzayev, R. (2022). "Digital Justice: E-Government Initiatives in Central Asia."</w:t>
      </w:r>
      <w:r>
        <w:t xml:space="preserve"> </w:t>
      </w:r>
      <w:r>
        <w:rPr>
          <w:iCs/>
          <w:i/>
        </w:rPr>
        <w:t xml:space="preserve">Journal of Eurasian Legal Studies</w:t>
      </w:r>
      <w:r>
        <w:t xml:space="preserve">, 14(3), 45-60.</w:t>
      </w:r>
    </w:p>
    <w:p>
      <w:pPr>
        <w:numPr>
          <w:ilvl w:val="0"/>
          <w:numId w:val="1002"/>
        </w:numPr>
        <w:pStyle w:val="Compact"/>
      </w:pPr>
      <w:r>
        <w:t xml:space="preserve">OECD Report. (2023).</w:t>
      </w:r>
      <w:r>
        <w:t xml:space="preserve"> </w:t>
      </w:r>
      <w:r>
        <w:rPr>
          <w:iCs/>
          <w:i/>
        </w:rPr>
        <w:t xml:space="preserve">Regulatory Policy Outlook: Kazakhstan Almaty Economic Zone.</w:t>
      </w:r>
      <w:r>
        <w:t xml:space="preserve"> </w:t>
      </w:r>
      <w:r>
        <w:t xml:space="preserve">Paris: OECD Publishing.</w:t>
      </w:r>
    </w:p>
    <w:p>
      <w:pPr>
        <w:numPr>
          <w:ilvl w:val="0"/>
          <w:numId w:val="1002"/>
        </w:numPr>
        <w:pStyle w:val="Compact"/>
      </w:pPr>
      <w:r>
        <w:t xml:space="preserve">Sultanov, B. (2019). "Intellectual Property Protection in the Tech Sector."</w:t>
      </w:r>
      <w:r>
        <w:t xml:space="preserve"> </w:t>
      </w:r>
      <w:r>
        <w:rPr>
          <w:iCs/>
          <w:i/>
        </w:rPr>
        <w:t xml:space="preserve">Central Asian Law Review</w:t>
      </w:r>
      <w:r>
        <w:t xml:space="preserve">, 8(2), 112-130.</w:t>
      </w:r>
    </w:p>
    <w:bookmarkEnd w:id="27"/>
    <w:p>
      <w:pPr>
        <w:pStyle w:val="FirstParagraph"/>
      </w:pPr>
      <w:r>
        <w:t xml:space="preserve">© 2023 Academic Poster Presentation on Legal Studies. All Rights Reserved.</w:t>
      </w:r>
      <w:r>
        <w:br/>
      </w:r>
      <w:r>
        <w:t xml:space="preserve">Prepared for distribution in Kazakhstan Almaty. Focus: The Modern Lawyer.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Legal Frameworks in a Transition: The Role of the Lawyer in Contemporary Kazakhstan Almaty</dc:title>
  <dc:creator/>
  <dc:language>en</dc:language>
  <cp:keywords/>
  <dcterms:created xsi:type="dcterms:W3CDTF">2026-07-29T15:15:30Z</dcterms:created>
  <dcterms:modified xsi:type="dcterms:W3CDTF">2026-07-29T15:15:30Z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