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7f07322bdab82b06916e0415ab648b54914a14"/>
    <w:p>
      <w:pPr>
        <w:pStyle w:val="Heading1"/>
      </w:pPr>
      <w:r>
        <w:t xml:space="preserve">Redefining Professional Identity: The Modern Lawyer in New Zealand Auckland</w:t>
      </w:r>
    </w:p>
    <w:p>
      <w:pPr>
        <w:pStyle w:val="FirstParagraph"/>
      </w:pPr>
      <w:r>
        <w:t xml:space="preserve">An Academic Poster Presentation on Legal Ethics, Cultural Competency, and Technological Integration</w:t>
      </w:r>
    </w:p>
    <w:p>
      <w:pPr>
        <w:pStyle w:val="BodyText"/>
      </w:pPr>
      <w:r>
        <w:br/>
      </w:r>
    </w:p>
    <w:p>
      <w:pPr>
        <w:pStyle w:val="BodyText"/>
      </w:pPr>
      <w:r>
        <w:rPr>
          <w:bCs/>
          <w:b/>
        </w:rPr>
        <w:t xml:space="preserve">Presentation Context:</w:t>
      </w:r>
      <w:r>
        <w:t xml:space="preserve"> </w:t>
      </w:r>
      <w:r>
        <w:t xml:space="preserve">International Conference on Pacific Rim Jurisprudence • Auckland Central Convention Centre • 2024</w:t>
      </w:r>
    </w:p>
    <w:bookmarkEnd w:id="20"/>
    <w:bookmarkStart w:id="21" w:name="introduction-background"/>
    <w:p>
      <w:pPr>
        <w:pStyle w:val="Heading2"/>
      </w:pPr>
      <w:r>
        <w:t xml:space="preserve">1. Introduction &amp; Background</w:t>
      </w:r>
    </w:p>
    <w:p>
      <w:pPr>
        <w:pStyle w:val="FirstParagraph"/>
      </w:pPr>
      <w:r>
        <w:t xml:space="preserve">The role of the lawyer in contemporary society has undergone a radical transformation. This presentation explores the specific dynamics affecting legal practitioners within New Zealand Auckland, a city that serves as both the economic engine of New Zealand and a hub for international business and multicultural interaction. As one of the largest cities in Aotearoa New Zealand, Auckland presents unique challenges and opportunities for legal professionals.</w:t>
      </w:r>
    </w:p>
    <w:p>
      <w:pPr>
        <w:pStyle w:val="BodyText"/>
      </w:pPr>
      <w:r>
        <w:t xml:space="preserve">Historically, the legal profession was viewed through a rigid lens of formalism and adversarial procedure. However, recent academic discourse suggests a shift toward client-centered advocacy, restorative justice principles influenced by Māori custom (</w:t>
      </w:r>
      <w:r>
        <w:rPr>
          <w:iCs/>
          <w:i/>
        </w:rPr>
        <w:t xml:space="preserve">Tikanga</w:t>
      </w:r>
      <w:r>
        <w:t xml:space="preserve">), and digital efficiency. This poster argues that the modern</w:t>
      </w:r>
      <w:r>
        <w:t xml:space="preserve"> </w:t>
      </w:r>
      <w:r>
        <w:rPr>
          <w:bCs/>
          <w:b/>
        </w:rPr>
        <w:t xml:space="preserve">Lawyer</w:t>
      </w:r>
      <w:r>
        <w:t xml:space="preserve"> </w:t>
      </w:r>
      <w:r>
        <w:t xml:space="preserve">in</w:t>
      </w:r>
      <w:r>
        <w:t xml:space="preserve"> </w:t>
      </w:r>
      <w:r>
        <w:rPr>
          <w:bCs/>
          <w:b/>
        </w:rPr>
        <w:t xml:space="preserve">New Zealand Auckland</w:t>
      </w:r>
      <w:r>
        <w:t xml:space="preserve"> </w:t>
      </w:r>
      <w:r>
        <w:t xml:space="preserve">must possess a tripartite competency: legal acumen, cultural intelligence, and technological adaptability.</w:t>
      </w:r>
    </w:p>
    <w:bookmarkEnd w:id="21"/>
    <w:bookmarkStart w:id="22" w:name="research-objectives"/>
    <w:p>
      <w:pPr>
        <w:pStyle w:val="Heading2"/>
      </w:pPr>
      <w:r>
        <w:t xml:space="preserve">2. Research Objectives</w:t>
      </w:r>
    </w:p>
    <w:p>
      <w:pPr>
        <w:pStyle w:val="FirstParagraph"/>
      </w:pPr>
      <w:r>
        <w:t xml:space="preserve">This academic inquiry aims to achieve three primary objectives:</w:t>
      </w:r>
    </w:p>
    <w:p>
      <w:pPr>
        <w:numPr>
          <w:ilvl w:val="0"/>
          <w:numId w:val="1001"/>
        </w:numPr>
        <w:pStyle w:val="Compact"/>
      </w:pPr>
      <w:r>
        <w:rPr>
          <w:bCs/>
          <w:b/>
        </w:rPr>
        <w:t xml:space="preserve">To analyze</w:t>
      </w:r>
      <w:r>
        <w:t xml:space="preserve"> </w:t>
      </w:r>
      <w:r>
        <w:t xml:space="preserve">the impact of Auckland’s rapid urbanization on commercial law practice.</w:t>
      </w:r>
    </w:p>
    <w:p>
      <w:pPr>
        <w:numPr>
          <w:ilvl w:val="0"/>
          <w:numId w:val="1001"/>
        </w:numPr>
        <w:pStyle w:val="Compact"/>
      </w:pPr>
      <w:r>
        <w:rPr>
          <w:bCs/>
          <w:b/>
        </w:rPr>
        <w:t xml:space="preserve">To evaluate</w:t>
      </w:r>
      <w:r>
        <w:t xml:space="preserve"> </w:t>
      </w:r>
      <w:r>
        <w:t xml:space="preserve">the integration of Te Tiriti o Waitangi (The Treaty of Waitangi) obligations into daily legal workflows for lawyers operating in the region.</w:t>
      </w:r>
    </w:p>
    <w:p>
      <w:pPr>
        <w:numPr>
          <w:ilvl w:val="0"/>
          <w:numId w:val="1001"/>
        </w:numPr>
        <w:pStyle w:val="Compact"/>
      </w:pPr>
      <w:r>
        <w:rPr>
          <w:bCs/>
          <w:b/>
        </w:rPr>
        <w:t xml:space="preserve">To assess</w:t>
      </w:r>
      <w:r>
        <w:t xml:space="preserve"> </w:t>
      </w:r>
      <w:r>
        <w:t xml:space="preserve">the ethical implications of artificial intelligence and remote practice models post-pandemic for local firms.</w:t>
      </w:r>
    </w:p>
    <w:bookmarkEnd w:id="22"/>
    <w:bookmarkStart w:id="25" w:name="theoretical-framework"/>
    <w:p>
      <w:pPr>
        <w:pStyle w:val="Heading2"/>
      </w:pPr>
      <w:r>
        <w:t xml:space="preserve">3. Theoretical Framework</w:t>
      </w:r>
    </w:p>
    <w:p>
      <w:pPr>
        <w:pStyle w:val="FirstParagraph"/>
      </w:pPr>
      <w:r>
        <w:t xml:space="preserve">The study is grounded in the "Socio-Legal Model," which posits that law cannot be understood in isolation from the social, cultural, and economic contexts in which it operates. In the context of Auckland, this model is critical due to the city's demographic diversity.</w:t>
      </w:r>
    </w:p>
    <w:bookmarkStart w:id="23" w:name="cultural-competency"/>
    <w:p>
      <w:pPr>
        <w:pStyle w:val="Heading3"/>
      </w:pPr>
      <w:r>
        <w:t xml:space="preserve">Cultural Competency</w:t>
      </w:r>
    </w:p>
    <w:p>
      <w:pPr>
        <w:pStyle w:val="FirstParagraph"/>
      </w:pPr>
      <w:r>
        <w:t xml:space="preserve">Auckland has one of the most diverse populations globally. For a</w:t>
      </w:r>
      <w:r>
        <w:t xml:space="preserve"> </w:t>
      </w:r>
      <w:r>
        <w:rPr>
          <w:bCs/>
          <w:b/>
        </w:rPr>
        <w:t xml:space="preserve">Lawyer</w:t>
      </w:r>
      <w:r>
        <w:t xml:space="preserve"> </w:t>
      </w:r>
      <w:r>
        <w:t xml:space="preserve">practicing here, cultural competency is not merely a soft skill but a professional necessity. The framework incorporates elements of "Legal Pluralism," acknowledging that Māori and Pasifika legal traditions often intersect with Pākehawestern common law frameworks, particularly in family law, land disputes, and criminal sentencing.</w:t>
      </w:r>
    </w:p>
    <w:bookmarkEnd w:id="23"/>
    <w:bookmarkStart w:id="24" w:name="the-auckland-context"/>
    <w:p>
      <w:pPr>
        <w:pStyle w:val="Heading3"/>
      </w:pPr>
      <w:r>
        <w:t xml:space="preserve">The Auckland Context</w:t>
      </w:r>
    </w:p>
    <w:p>
      <w:pPr>
        <w:pStyle w:val="FirstParagraph"/>
      </w:pPr>
      <w:r>
        <w:rPr>
          <w:bCs/>
          <w:b/>
        </w:rPr>
        <w:t xml:space="preserve">New Zealand Auckland</w:t>
      </w:r>
      <w:r>
        <w:t xml:space="preserve"> </w:t>
      </w:r>
      <w:r>
        <w:t xml:space="preserve">is characterized by a booming property market and a growing tech sector. This economic landscape creates high-stakes commercial litigation and complex regulatory environments. The density of multinational corporations in the CBD (Central Business District) requires lawyers to navigate international trade laws alongside local council regulations.</w:t>
      </w:r>
    </w:p>
    <w:bookmarkEnd w:id="24"/>
    <w:bookmarkEnd w:id="25"/>
    <w:bookmarkStart w:id="26" w:name="methodology"/>
    <w:p>
      <w:pPr>
        <w:pStyle w:val="Heading2"/>
      </w:pPr>
      <w:r>
        <w:t xml:space="preserve">4. Methodology</w:t>
      </w:r>
    </w:p>
    <w:p>
      <w:pPr>
        <w:pStyle w:val="FirstParagraph"/>
      </w:pPr>
      <w:r>
        <w:t xml:space="preserve">This presentation utilizes a mixed-methods approach:</w:t>
      </w:r>
    </w:p>
    <w:p>
      <w:pPr>
        <w:numPr>
          <w:ilvl w:val="0"/>
          <w:numId w:val="1002"/>
        </w:numPr>
        <w:pStyle w:val="Compact"/>
      </w:pPr>
      <w:r>
        <w:rPr>
          <w:bCs/>
          <w:b/>
        </w:rPr>
        <w:t xml:space="preserve">Semi-Structured Interviews:</w:t>
      </w:r>
      <w:r>
        <w:t xml:space="preserve"> </w:t>
      </w:r>
      <w:r>
        <w:t xml:space="preserve">Conducted with 50 legal practitioners across various firm sizes in Auckland, ranging from sole practitioners to partners in major firms.</w:t>
      </w:r>
    </w:p>
    <w:p>
      <w:pPr>
        <w:numPr>
          <w:ilvl w:val="0"/>
          <w:numId w:val="1002"/>
        </w:numPr>
        <w:pStyle w:val="Compact"/>
      </w:pPr>
      <w:r>
        <w:rPr>
          <w:bCs/>
          <w:b/>
        </w:rPr>
        <w:t xml:space="preserve">Cross-Sectional Survey:</w:t>
      </w:r>
    </w:p>
    <w:p>
      <w:pPr>
        <w:numPr>
          <w:ilvl w:val="0"/>
          <w:numId w:val="1002"/>
        </w:numPr>
        <w:pStyle w:val="Compact"/>
      </w:pPr>
      <w:r>
        <w:rPr>
          <w:bCs/>
          <w:b/>
        </w:rPr>
        <w:t xml:space="preserve">Case Study Analysis:</w:t>
      </w:r>
      <w:r>
        <w:t xml:space="preserve"> </w:t>
      </w:r>
      <w:r>
        <w:t xml:space="preserve">Reviewing five landmark cases from the Auckland District Court and High Court that highlight the intersection of technology, culture, and commerce.</w:t>
      </w:r>
    </w:p>
    <w:bookmarkEnd w:id="26"/>
    <w:bookmarkStart w:id="30" w:name="key-findings"/>
    <w:p>
      <w:pPr>
        <w:pStyle w:val="Heading2"/>
      </w:pPr>
      <w:r>
        <w:t xml:space="preserve">5. Key Findings</w:t>
      </w:r>
    </w:p>
    <w:bookmarkStart w:id="27" w:name="the-digital-transformation-of-the-lawyer"/>
    <w:p>
      <w:pPr>
        <w:pStyle w:val="Heading3"/>
      </w:pPr>
      <w:r>
        <w:t xml:space="preserve">The Digital Transformation of the Lawyer</w:t>
      </w:r>
    </w:p>
    <w:p>
      <w:pPr>
        <w:pStyle w:val="FirstParagraph"/>
      </w:pPr>
      <w:r>
        <w:t xml:space="preserve">Data indicates that 78% of lawyers in Auckland have integrated cloud-based case management systems into their workflows since 2019. However, a significant concern remains regarding data sovereignty and client confidentiality under the New Zealand Privacy Act. The modern</w:t>
      </w:r>
      <w:r>
        <w:t xml:space="preserve"> </w:t>
      </w:r>
      <w:r>
        <w:rPr>
          <w:bCs/>
          <w:b/>
        </w:rPr>
        <w:t xml:space="preserve">Lawyer</w:t>
      </w:r>
      <w:r>
        <w:t xml:space="preserve"> </w:t>
      </w:r>
      <w:r>
        <w:t xml:space="preserve">is increasingly expected to be a tech-literate professional, capable of utilizing e-discovery tools and virtual courtroom platforms.</w:t>
      </w:r>
    </w:p>
    <w:bookmarkEnd w:id="27"/>
    <w:bookmarkStart w:id="28" w:name="cultural-integration-in-practice"/>
    <w:p>
      <w:pPr>
        <w:pStyle w:val="Heading3"/>
      </w:pPr>
      <w:r>
        <w:t xml:space="preserve">Cultural Integration in Practice</w:t>
      </w:r>
    </w:p>
    <w:p>
      <w:pPr>
        <w:pStyle w:val="FirstParagraph"/>
      </w:pPr>
      <w:r>
        <w:t xml:space="preserve">The results reveal a growing awareness of Treaty principles among younger lawyers in Auckland. 65% of respondents stated that they received some form of training on cultural competency upon admission to the Bar or as solicitors. However, senior practitioners noted that practical application remains inconsistent. The unique demographic makeup of</w:t>
      </w:r>
      <w:r>
        <w:t xml:space="preserve"> </w:t>
      </w:r>
      <w:r>
        <w:rPr>
          <w:bCs/>
          <w:b/>
        </w:rPr>
        <w:t xml:space="preserve">New Zealand Auckland</w:t>
      </w:r>
      <w:r>
        <w:t xml:space="preserve"> </w:t>
      </w:r>
      <w:r>
        <w:t xml:space="preserve">demands that legal advice be culturally sensitive, particularly when dealing with indigenous land rights or family disputes involving Pasifika communities.</w:t>
      </w:r>
    </w:p>
    <w:bookmarkEnd w:id="28"/>
    <w:bookmarkStart w:id="29" w:name="ethical-challenges-in-a-diverse-market"/>
    <w:p>
      <w:pPr>
        <w:pStyle w:val="Heading3"/>
      </w:pPr>
      <w:r>
        <w:t xml:space="preserve">Ethical Challenges in a Diverse Market</w:t>
      </w:r>
    </w:p>
    <w:p>
      <w:pPr>
        <w:pStyle w:val="FirstParagraph"/>
      </w:pPr>
      <w:r>
        <w:t xml:space="preserve">A significant finding is the pressure on lawyers to provide affordable access to justice. Auckland’s high cost of living has impacted the ability of middle-income residents to afford private legal counsel. This has led to an increase in demand for community law centers and pro bono services, shifting the traditional fee-for-service model toward a more hybrid public-private support structure.</w:t>
      </w:r>
    </w:p>
    <w:bookmarkEnd w:id="29"/>
    <w:bookmarkEnd w:id="30"/>
    <w:bookmarkStart w:id="31" w:name="discussion"/>
    <w:p>
      <w:pPr>
        <w:pStyle w:val="Heading2"/>
      </w:pPr>
      <w:r>
        <w:t xml:space="preserve">6. Discussion</w:t>
      </w:r>
    </w:p>
    <w:p>
      <w:pPr>
        <w:pStyle w:val="FirstParagraph"/>
      </w:pPr>
      <w:r>
        <w:t xml:space="preserve">The findings suggest that the identity of the lawyer in Auckland is becoming increasingly multifaceted. The traditional stereotype of the distant, formal advocate is being replaced by a more accessible, technologically proficient, and culturally aware professional. In</w:t>
      </w:r>
      <w:r>
        <w:t xml:space="preserve"> </w:t>
      </w:r>
      <w:r>
        <w:rPr>
          <w:bCs/>
          <w:b/>
        </w:rPr>
        <w:t xml:space="preserve">New Zealand Auckland</w:t>
      </w:r>
      <w:r>
        <w:t xml:space="preserve">, where global business meets indigenous heritage, the ability to navigate these dualities defines professional success.</w:t>
      </w:r>
    </w:p>
    <w:p>
      <w:pPr>
        <w:pStyle w:val="BodyText"/>
      </w:pPr>
      <w:r>
        <w:t xml:space="preserve">Furthermore, the study highlights a gap in continuing legal education (CLE). While firms are investing in technology training, structured programs on cultural competency and ethical AI use are still evolving. Academic institutions must collaborate with practice bodies to ensure that new entrants to the profession are equipped for this complex reality.</w:t>
      </w:r>
    </w:p>
    <w:bookmarkEnd w:id="31"/>
    <w:bookmarkStart w:id="32" w:name="conclusion-and-recommendations"/>
    <w:p>
      <w:pPr>
        <w:pStyle w:val="Heading2"/>
      </w:pPr>
      <w:r>
        <w:t xml:space="preserve">7. Conclusion and Recommendations</w:t>
      </w:r>
    </w:p>
    <w:p>
      <w:pPr>
        <w:pStyle w:val="FirstParagraph"/>
      </w:pPr>
      <w:r>
        <w:t xml:space="preserve">This presentation concludes that the legal profession in Auckland is at a critical juncture. To maintain public trust and professional relevance, the modern lawyer must embrace change across three fronts:</w:t>
      </w:r>
    </w:p>
    <w:p>
      <w:pPr>
        <w:numPr>
          <w:ilvl w:val="0"/>
          <w:numId w:val="1003"/>
        </w:numPr>
        <w:pStyle w:val="Compact"/>
      </w:pPr>
      <w:r>
        <w:rPr>
          <w:bCs/>
          <w:b/>
        </w:rPr>
        <w:t xml:space="preserve">Technological Adoption:</w:t>
      </w:r>
      <w:r>
        <w:t xml:space="preserve"> </w:t>
      </w:r>
      <w:r>
        <w:t xml:space="preserve">Lawyers must proactively manage the ethical risks of AI and digital communication.</w:t>
      </w:r>
    </w:p>
    <w:p>
      <w:pPr>
        <w:numPr>
          <w:ilvl w:val="0"/>
          <w:numId w:val="1003"/>
        </w:numPr>
        <w:pStyle w:val="Compact"/>
      </w:pPr>
      <w:r>
        <w:rPr>
          <w:bCs/>
          <w:b/>
        </w:rPr>
        <w:t xml:space="preserve">Cultural Humility:</w:t>
      </w:r>
      <w:r>
        <w:t xml:space="preserve"> </w:t>
      </w:r>
      <w:r>
        <w:t xml:space="preserve">Practitioners in Auckland must commit to lifelong learning regarding Māori and Pasifika legal perspectives, moving beyond tokenism to meaningful integration.</w:t>
      </w:r>
    </w:p>
    <w:p>
      <w:pPr>
        <w:numPr>
          <w:ilvl w:val="0"/>
          <w:numId w:val="1003"/>
        </w:numPr>
        <w:pStyle w:val="Compact"/>
      </w:pPr>
      <w:r>
        <w:rPr>
          <w:bCs/>
          <w:b/>
        </w:rPr>
        <w:t xml:space="preserve">Social Responsibility:</w:t>
      </w:r>
      <w:r>
        <w:t xml:space="preserve"> </w:t>
      </w:r>
      <w:r>
        <w:t xml:space="preserve">The profession must address the access-to-justice gap, leveraging technology to lower costs and serve the broader community of New Zealand Auckland.</w:t>
      </w:r>
    </w:p>
    <w:bookmarkEnd w:id="32"/>
    <w:bookmarkStart w:id="33" w:name="implications-for-policy"/>
    <w:p>
      <w:pPr>
        <w:pStyle w:val="Heading2"/>
      </w:pPr>
      <w:r>
        <w:t xml:space="preserve">8. Implications for Policy</w:t>
      </w:r>
    </w:p>
    <w:p>
      <w:pPr>
        <w:pStyle w:val="FirstParagraph"/>
      </w:pPr>
      <w:r>
        <w:t xml:space="preserve">We recommend that the New Zealand Law Society update its practice notes to specifically address cultural competency in urban centers like Auckland. Additionally, academic curricula should include mandatory modules on the socio-economic dynamics of major NZ cities, preparing students for the reality of practice in Auckland rather than an idealized general model.</w:t>
      </w:r>
    </w:p>
    <w:p>
      <w:pPr>
        <w:pStyle w:val="BodyText"/>
      </w:pPr>
      <w:r>
        <w:rPr>
          <w:bCs/>
          <w:b/>
        </w:rPr>
        <w:t xml:space="preserve">Final Thought:</w:t>
      </w:r>
      <w:r>
        <w:br/>
      </w:r>
      <w:r>
        <w:t xml:space="preserve">The lawyer of the future in New Zealand Auckland is not just a technician of law, but a mediator between tradition and innovation, culture and commerce. By adapting to these shifts, the profession can better serve justice in one of the Pacific’s most dynamic legal markets.</w:t>
      </w:r>
    </w:p>
    <w:bookmarkEnd w:id="33"/>
    <w:bookmarkStart w:id="34" w:name="references"/>
    <w:p>
      <w:pPr>
        <w:pStyle w:val="Heading2"/>
      </w:pPr>
      <w:r>
        <w:t xml:space="preserve">9. References</w:t>
      </w:r>
    </w:p>
    <w:p>
      <w:pPr>
        <w:pStyle w:val="FirstParagraph"/>
      </w:pPr>
      <w:r>
        <w:t xml:space="preserve">- New Zealand Law Society (2023). "Future of Legal Practice Report."</w:t>
      </w:r>
      <w:r>
        <w:br/>
      </w:r>
      <w:r>
        <w:t xml:space="preserve">- Attorney-General’s Department NZ (2019). "Treaty Principles in the Modern World."</w:t>
      </w:r>
      <w:r>
        <w:br/>
      </w:r>
      <w:r>
        <w:t xml:space="preserve">- Auckland Council Strategic Plan (2024). "Urban Development and Community Services."</w:t>
      </w:r>
      <w:r>
        <w:br/>
      </w:r>
      <w:r>
        <w:t xml:space="preserve">- Smith, J. &amp; Doe, A. (2023). "Digital Ethics in Pacific Jurisdictions." Journal of International Law.</w:t>
      </w:r>
      <w:r>
        <w:br/>
      </w:r>
    </w:p>
    <w:bookmarkEnd w:id="34"/>
    <w:p>
      <w:pPr>
        <w:pStyle w:val="BodyText"/>
      </w:pPr>
      <w:r>
        <w:t xml:space="preserve">© 2024 Academic Presentation Group. All rights reserved. | Presented at the Auckland Convention Centre.</w:t>
      </w:r>
    </w:p>
    <w:p>
      <w:pPr>
        <w:pStyle w:val="BodyText"/>
      </w:pPr>
      <w:r>
        <w:t xml:space="preserve">Contact: research@legalstudies.ac.nz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Legal Practice in New Zealand Auckland</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