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Legal</w:t>
      </w:r>
      <w:r>
        <w:t xml:space="preserve"> </w:t>
      </w:r>
      <w:r>
        <w:t xml:space="preserve">Practitioner:</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the</w:t>
      </w:r>
      <w:r>
        <w:t xml:space="preserve"> </w:t>
      </w:r>
      <w:r>
        <w:t xml:space="preserve">New</w:t>
      </w:r>
      <w:r>
        <w:t xml:space="preserve"> </w:t>
      </w:r>
      <w:r>
        <w:t xml:space="preserve">Zealand</w:t>
      </w:r>
      <w:r>
        <w:t xml:space="preserve"> </w:t>
      </w:r>
      <w:r>
        <w:t xml:space="preserve">Wellington</w:t>
      </w:r>
      <w:r>
        <w:t xml:space="preserve"> </w:t>
      </w:r>
      <w:r>
        <w:t xml:space="preserve">Jurisdiction</w:t>
      </w:r>
    </w:p>
    <w:bookmarkStart w:id="32" w:name="X3a5f0c9312c05462859ec367fb77bec1aaee020"/>
    <w:p>
      <w:pPr>
        <w:pStyle w:val="Heading1"/>
      </w:pPr>
      <w:r>
        <w:t xml:space="preserve">The Modern Legal Practitioner:</w:t>
      </w:r>
      <w:r>
        <w:br/>
      </w:r>
      <w:r>
        <w:t xml:space="preserve">Navigating the Complexities of the New Zealand Wellington Jurisdiction</w:t>
      </w:r>
    </w:p>
    <w:p>
      <w:pPr>
        <w:pStyle w:val="FirstParagraph"/>
      </w:pPr>
      <w:r>
        <w:rPr>
          <w:bCs/>
          <w:b/>
        </w:rPr>
        <w:t xml:space="preserve">A Poster Presentation Academic Document</w:t>
      </w:r>
    </w:p>
    <w:p>
      <w:pPr>
        <w:pStyle w:val="BodyText"/>
      </w:pPr>
      <w:r>
        <w:t xml:space="preserve">Focusing on Statutory Interpretation, Procedural Efficiency, and Ethical Standards within New Zealand’s Capital City Legal Framework</w:t>
      </w:r>
    </w:p>
    <w:bookmarkStart w:id="20" w:name="X7d3939d1cb50b011ead4b259c6cfaeceee61e46"/>
    <w:p>
      <w:pPr>
        <w:pStyle w:val="Heading2"/>
      </w:pPr>
      <w:r>
        <w:t xml:space="preserve">I. Introduction and Contextual Background</w:t>
      </w:r>
    </w:p>
    <w:p>
      <w:pPr>
        <w:pStyle w:val="FirstParagraph"/>
      </w:pPr>
      <w:r>
        <w:t xml:space="preserve">In the rapidly evolving landscape of contemporary jurisprudence, the role of a</w:t>
      </w:r>
      <w:r>
        <w:t xml:space="preserve"> </w:t>
      </w:r>
      <w:r>
        <w:rPr>
          <w:bCs/>
          <w:b/>
        </w:rPr>
        <w:t xml:space="preserve">Lawyer</w:t>
      </w:r>
      <w:r>
        <w:t xml:space="preserve"> </w:t>
      </w:r>
      <w:r>
        <w:t xml:space="preserve">extends far beyond traditional advocacy and mere legal representation. It requires a multifaceted approach that encompasses deep statutory interpretation, ethical rigour, procedural mastery, and an acute understanding of local jurisdictional nuances. This poster presentation critically examines the operational dynamics within</w:t>
      </w:r>
      <w:r>
        <w:t xml:space="preserve"> </w:t>
      </w:r>
      <w:r>
        <w:rPr>
          <w:bCs/>
          <w:b/>
        </w:rPr>
        <w:t xml:space="preserve">New Zealand Wellington</w:t>
      </w:r>
      <w:r>
        <w:t xml:space="preserve">, serving as the political and judicial heart of New Zealand. As the seat of government and home to key judicial institutions including the High Court sitting in Wellington and various specialized tribunals,</w:t>
      </w:r>
      <w:r>
        <w:t xml:space="preserve"> </w:t>
      </w:r>
      <w:r>
        <w:rPr>
          <w:bCs/>
          <w:b/>
        </w:rPr>
        <w:t xml:space="preserve">New Zealand Wellington</w:t>
      </w:r>
      <w:r>
        <w:t xml:space="preserve"> </w:t>
      </w:r>
      <w:r>
        <w:t xml:space="preserve">presents a unique ecosystem for legal practitioners. The objective of this academic analysis is to delineate how lawyers operating in this specific geographic and institutional context must adapt their practice models to meet the heightened expectations of efficiency, transparency, and client-centric service delivery.</w:t>
      </w:r>
    </w:p>
    <w:p>
      <w:pPr>
        <w:pStyle w:val="BodyText"/>
      </w:pPr>
      <w:r>
        <w:t xml:space="preserve">The significance of focusing on</w:t>
      </w:r>
      <w:r>
        <w:t xml:space="preserve"> </w:t>
      </w:r>
      <w:r>
        <w:rPr>
          <w:bCs/>
          <w:b/>
        </w:rPr>
        <w:t xml:space="preserve">New Zealand Wellington</w:t>
      </w:r>
      <w:r>
        <w:t xml:space="preserve"> </w:t>
      </w:r>
      <w:r>
        <w:t xml:space="preserve">cannot be overstated. Unlike other regional centres, the capital city hosts a concentration of high-stakes commercial litigation, public law matters involving government entities, and complex regulatory compliance issues. Consequently, the lawyer in this jurisdiction operates at the intersection of policy creation and legal enforcement. This document explores three primary pillars: (1) The impact of recent legislative reforms on practice management in Wellington; (2) The integration of technology and alternative dispute resolution mechanisms; and (3) Ethical considerations specific to public interest litigation in a capital city environment.</w:t>
      </w:r>
    </w:p>
    <w:bookmarkEnd w:id="20"/>
    <w:bookmarkStart w:id="23" w:name="X6acac286748ce133f3a335e5dd4d08c58957740"/>
    <w:p>
      <w:pPr>
        <w:pStyle w:val="Heading2"/>
      </w:pPr>
      <w:r>
        <w:t xml:space="preserve">II. Statutory Interpretation and Legislative Impact</w:t>
      </w:r>
    </w:p>
    <w:p>
      <w:pPr>
        <w:pStyle w:val="FirstParagraph"/>
      </w:pPr>
      <w:r>
        <w:t xml:space="preserve">The foundation of effective legal practice rests upon the precise interpretation of statutes. In</w:t>
      </w:r>
      <w:r>
        <w:t xml:space="preserve"> </w:t>
      </w:r>
      <w:r>
        <w:rPr>
          <w:bCs/>
          <w:b/>
        </w:rPr>
        <w:t xml:space="preserve">New Zealand Wellington</w:t>
      </w:r>
      <w:r>
        <w:t xml:space="preserve">, lawyers frequently engage with legislation that is often in its nascent stages or undergoing significant amendment due to the proximity to Parliament and executive agencies. This dynamic environment requires a lawyer to possess not only traditional common law reasoning skills but also proactive legislative analysis capabilities.</w:t>
      </w:r>
    </w:p>
    <w:bookmarkStart w:id="21" w:name="Xea33188cafb883774c56a04ca14665c3543e515"/>
    <w:p>
      <w:pPr>
        <w:pStyle w:val="Heading3"/>
      </w:pPr>
      <w:r>
        <w:t xml:space="preserve">A. The Principle of Legality and Parliamentary Intent</w:t>
      </w:r>
    </w:p>
    <w:p>
      <w:pPr>
        <w:pStyle w:val="FirstParagraph"/>
      </w:pPr>
      <w:r>
        <w:t xml:space="preserve">New Zealand’s statutory interpretation framework, governed primarily by the Interpretation Act 1999 and reinforced by judicial precedents such as *Quilter v Attorney-General* [1998] and subsequent rulings from the Supreme Court of New Zealand, emphasizes a purposive approach. Lawyers in Wellington must navigate these principles with precision. When representing clients before courts situated in</w:t>
      </w:r>
      <w:r>
        <w:t xml:space="preserve"> </w:t>
      </w:r>
      <w:r>
        <w:rPr>
          <w:bCs/>
          <w:b/>
        </w:rPr>
        <w:t xml:space="preserve">New Zealand Wellington</w:t>
      </w:r>
      <w:r>
        <w:t xml:space="preserve">, counsel must demonstrate an understanding of parliamentary intent that goes beyond literal text reading. This is particularly relevant in areas such as immigration law, where the Immigration Act 2009 is frequently interpreted against changing government policies announced from Beehive precincts.</w:t>
      </w:r>
    </w:p>
    <w:bookmarkEnd w:id="21"/>
    <w:bookmarkStart w:id="22" w:name="b.-regulatory-complexity-and-compliance"/>
    <w:p>
      <w:pPr>
        <w:pStyle w:val="Heading3"/>
      </w:pPr>
      <w:r>
        <w:t xml:space="preserve">B. Regulatory Complexity and Compliance</w:t>
      </w:r>
    </w:p>
    <w:p>
      <w:pPr>
        <w:pStyle w:val="FirstParagraph"/>
      </w:pPr>
      <w:r>
        <w:t xml:space="preserve">The Wellington region serves as a hub for financial services, telecommunications, and energy sectors. Consequently, lawyers here deal with complex regulatory frameworks administered by bodies such as the Financial Markets Authority (FMA) and the Commerce Commission. A lawyer must ensure that corporate clients not only comply with existing regulations but can also anticipate future regulatory shifts driven by political agendas formulated in</w:t>
      </w:r>
      <w:r>
        <w:t xml:space="preserve"> </w:t>
      </w:r>
      <w:r>
        <w:rPr>
          <w:bCs/>
          <w:b/>
        </w:rPr>
        <w:t xml:space="preserve">New Zealand Wellington</w:t>
      </w:r>
      <w:r>
        <w:t xml:space="preserve">. This anticipatory legal advice is a hallmark of modern practice in the capital, distinguishing it from more traditional regional practices.</w:t>
      </w:r>
    </w:p>
    <w:bookmarkEnd w:id="22"/>
    <w:bookmarkEnd w:id="23"/>
    <w:bookmarkStart w:id="27" w:name="X6543729434e2aa2a463263b05eadad2c5e9dc8d"/>
    <w:p>
      <w:pPr>
        <w:pStyle w:val="Heading2"/>
      </w:pPr>
      <w:r>
        <w:t xml:space="preserve">III. Procedural Efficiency and Technological Integration</w:t>
      </w:r>
    </w:p>
    <w:p>
      <w:pPr>
        <w:pStyle w:val="FirstParagraph"/>
      </w:pPr>
      <w:r>
        <w:t xml:space="preserve">The administration of justice in New Zealand has undergone a digital transformation. For a lawyer practicing in</w:t>
      </w:r>
      <w:r>
        <w:t xml:space="preserve"> </w:t>
      </w:r>
      <w:r>
        <w:rPr>
          <w:bCs/>
          <w:b/>
        </w:rPr>
        <w:t xml:space="preserve">New Zealand Wellington</w:t>
      </w:r>
      <w:r>
        <w:t xml:space="preserve">, mastery of these technological tools is no longer optional but mandatory for effective advocacy and client management.</w:t>
      </w:r>
    </w:p>
    <w:bookmarkStart w:id="24" w:name="court-efficiency-initiatives"/>
    <w:p>
      <w:pPr>
        <w:pStyle w:val="Heading3"/>
      </w:pPr>
      <w:r>
        <w:t xml:space="preserve">Court Efficiency Initiatives</w:t>
      </w:r>
    </w:p>
    <w:p>
      <w:pPr>
        <w:pStyle w:val="FirstParagraph"/>
      </w:pPr>
      <w:r>
        <w:t xml:space="preserve">The New Zealand judiciary has implemented various initiatives to reduce backlog and increase transparency. In Wellington, the High Court and District Court utilize digital filing systems (e-filing) extensively. A competent lawyer must be proficient in these systems to ensure timely filing of pleadings, evidence bundles, and notices of appeal. Delays caused by technical incompetence are increasingly viewed negatively by judicial officers sitting in Wellington.</w:t>
      </w:r>
    </w:p>
    <w:bookmarkEnd w:id="24"/>
    <w:bookmarkStart w:id="25" w:name="a.-alternative-dispute-resolution-adr"/>
    <w:p>
      <w:pPr>
        <w:pStyle w:val="Heading3"/>
      </w:pPr>
      <w:r>
        <w:t xml:space="preserve">A. Alternative Dispute Resolution (ADR)</w:t>
      </w:r>
    </w:p>
    <w:p>
      <w:pPr>
        <w:pStyle w:val="FirstParagraph"/>
      </w:pPr>
      <w:r>
        <w:t xml:space="preserve">Promoting settlement over litigation is a core tenet of the New Zealand legal profession’s ethical guidelines. In</w:t>
      </w:r>
      <w:r>
        <w:t xml:space="preserve"> </w:t>
      </w:r>
      <w:r>
        <w:rPr>
          <w:bCs/>
          <w:b/>
        </w:rPr>
        <w:t xml:space="preserve">New Zealand Wellington</w:t>
      </w:r>
      <w:r>
        <w:t xml:space="preserve">, where court lists can be congested due to the high volume of cases involving government departments, lawyers are increasingly encouraged to utilize mediation and arbitration services. The Lawyer Act 2011 underscores the importance of acting in the best interests of clients, which often includes recommending cost-effective ADR solutions. Well-known mediators and arbitrators based in Wellington provide specialized services that a modern lawyer must integrate into their dispute resolution strategy.</w:t>
      </w:r>
    </w:p>
    <w:bookmarkEnd w:id="25"/>
    <w:bookmarkStart w:id="26" w:name="b.-client-management-and-remote-advocacy"/>
    <w:p>
      <w:pPr>
        <w:pStyle w:val="Heading3"/>
      </w:pPr>
      <w:r>
        <w:t xml:space="preserve">B. Client Management and Remote Advocacy</w:t>
      </w:r>
    </w:p>
    <w:p>
      <w:pPr>
        <w:pStyle w:val="FirstParagraph"/>
      </w:pPr>
      <w:r>
        <w:t xml:space="preserve">The post-pandemic era has normalized remote hearings for many lower-stakes matters within the New Zealand court system. Lawyers in Wellington must adapt to conducting part of their practice remotely, utilizing video conferencing tools that meet security and privacy standards required by the Privacy Act 2020. This shift requires lawyers to develop new skills in virtual courtroom etiquette, digital evidence presentation, and maintaining client confidentiality in remote settings.</w:t>
      </w:r>
    </w:p>
    <w:bookmarkEnd w:id="26"/>
    <w:bookmarkEnd w:id="27"/>
    <w:bookmarkStart w:id="30" w:name="Xf7c91bfd7e5099da15ae092faa3593cb22e44a8"/>
    <w:p>
      <w:pPr>
        <w:pStyle w:val="Heading2"/>
      </w:pPr>
      <w:r>
        <w:t xml:space="preserve">IV. Ethical Considerations and Public Interest</w:t>
      </w:r>
    </w:p>
    <w:p>
      <w:pPr>
        <w:pStyle w:val="FirstParagraph"/>
      </w:pPr>
      <w:r>
        <w:t xml:space="preserve">The ethical obligations of a lawyer are codified in the Lawyers and Conveyancers Act 2006 and detailed practice rules issued by the New Zealand Law Society. In the context of</w:t>
      </w:r>
      <w:r>
        <w:t xml:space="preserve"> </w:t>
      </w:r>
      <w:r>
        <w:rPr>
          <w:bCs/>
          <w:b/>
        </w:rPr>
        <w:t xml:space="preserve">New Zealand Wellington</w:t>
      </w:r>
      <w:r>
        <w:t xml:space="preserve">, these ethical duties take on added complexity due to the nature of cases often involving public officials or significant public interest implications.</w:t>
      </w:r>
    </w:p>
    <w:bookmarkStart w:id="28" w:name="X2ea4cec6df67ce4d6eb8b200ff02fc01baca00e"/>
    <w:p>
      <w:pPr>
        <w:pStyle w:val="Heading3"/>
      </w:pPr>
      <w:r>
        <w:t xml:space="preserve">A. Conflicts of Interest in a Close-Knit Legal Community</w:t>
      </w:r>
    </w:p>
    <w:p>
      <w:pPr>
        <w:pStyle w:val="FirstParagraph"/>
      </w:pPr>
      <w:r>
        <w:t xml:space="preserve">Wellington’s legal community is relatively small and interconnected compared to larger metropolitan centers like Auckland. A lawyer must be vigilant regarding conflicts of interest, particularly when representing individuals against government agencies where former colleagues or superiors may hold influential positions. The perception of impartiality and the avoidance of even the appearance of impropriety are paramount for maintaining professional integrity in</w:t>
      </w:r>
      <w:r>
        <w:t xml:space="preserve"> </w:t>
      </w:r>
      <w:r>
        <w:rPr>
          <w:bCs/>
          <w:b/>
        </w:rPr>
        <w:t xml:space="preserve">New Zealand Wellington</w:t>
      </w:r>
      <w:r>
        <w:t xml:space="preserve">.</w:t>
      </w:r>
    </w:p>
    <w:bookmarkEnd w:id="28"/>
    <w:bookmarkStart w:id="29" w:name="b.-access-to-justice-and-pro-bono-work"/>
    <w:p>
      <w:pPr>
        <w:pStyle w:val="Heading3"/>
      </w:pPr>
      <w:r>
        <w:t xml:space="preserve">B. Access to Justice and Pro Bono Work</w:t>
      </w:r>
    </w:p>
    <w:p>
      <w:pPr>
        <w:pStyle w:val="FirstParagraph"/>
      </w:pPr>
      <w:r>
        <w:t xml:space="preserve">Access to justice remains a critical challenge in New Zealand. Lawyers based in Wellington have a unique responsibility to contribute to legal aid schemes and pro bono initiatives that support marginalized communities, including Māori and Pasifika populations, as well as refugees processed through immigration offices in the capital. Ethical practice involves not only zealous advocacy for paying clients but also contributing to the broader goal of a fair and accessible justice system. Many Wellington-based firms have dedicated social responsibility policies that align with this professional duty.</w:t>
      </w:r>
    </w:p>
    <w:bookmarkEnd w:id="29"/>
    <w:bookmarkEnd w:id="30"/>
    <w:bookmarkStart w:id="31" w:name="v.-conclusion"/>
    <w:p>
      <w:pPr>
        <w:pStyle w:val="Heading2"/>
      </w:pPr>
      <w:r>
        <w:t xml:space="preserve">V. Conclusion</w:t>
      </w:r>
    </w:p>
    <w:p>
      <w:pPr>
        <w:pStyle w:val="FirstParagraph"/>
      </w:pPr>
      <w:r>
        <w:t xml:space="preserve">In conclusion, the role of a lawyer in New Zealand is multifaceted, requiring adaptability to legislative changes and technological advancements. When situated specifically within the unique environment of</w:t>
      </w:r>
      <w:r>
        <w:t xml:space="preserve"> </w:t>
      </w:r>
      <w:r>
        <w:rPr>
          <w:bCs/>
          <w:b/>
        </w:rPr>
        <w:t xml:space="preserve">New Zealand Wellington</w:t>
      </w:r>
      <w:r>
        <w:t xml:space="preserve">, these demands are amplified by the concentration of political power, regulatory bodies, and high-volume court proceedings. This poster presentation has highlighted that success in this jurisdiction depends on three core competencies: expert statutory interpretation aligned with parliamentary intent, proficiency in digital procedural tools and ADR mechanisms, and a steadfast commitment to ethical standards that prioritize public interest.</w:t>
      </w:r>
    </w:p>
    <w:p>
      <w:pPr>
        <w:pStyle w:val="BodyText"/>
      </w:pPr>
      <w:r>
        <w:t xml:space="preserve">As New Zealand continues to navigate global legal trends while maintaining its distinct common law heritage, lawyers in</w:t>
      </w:r>
      <w:r>
        <w:t xml:space="preserve"> </w:t>
      </w:r>
      <w:r>
        <w:rPr>
          <w:bCs/>
          <w:b/>
        </w:rPr>
        <w:t xml:space="preserve">New Zealand Wellington</w:t>
      </w:r>
      <w:r>
        <w:t xml:space="preserve"> </w:t>
      </w:r>
      <w:r>
        <w:t xml:space="preserve">must remain at the forefront of innovation. They serve not only as advocates for their clients but also as stewards of the rule of law within the nation’s capital. Future research should focus on longitudinal studies regarding the impact of digital court reforms on case outcomes in Wellington, further refining our understanding of modern legal practice in this dynamic jurisdiction.</w:t>
      </w:r>
    </w:p>
    <w:p>
      <w:pPr>
        <w:pStyle w:val="BodyText"/>
      </w:pPr>
      <w:r>
        <w:rPr>
          <w:bCs/>
          <w:b/>
        </w:rPr>
        <w:t xml:space="preserve">Keywords:</w:t>
      </w:r>
      <w:r>
        <w:t xml:space="preserve"> </w:t>
      </w:r>
      <w:r>
        <w:t xml:space="preserve">Lawyer, New Zealand Wellington, Legal Practice, Statutory Interpretation, Ethical Standards,</w:t>
      </w:r>
      <w:r>
        <w:br/>
      </w:r>
      <w:r>
        <w:t xml:space="preserve">Judicial Efficiency, Public Law Alternative Dispute Resolution</w:t>
      </w:r>
    </w:p>
    <w:p>
      <w:pPr>
        <w:pStyle w:val="BodyText"/>
      </w:pPr>
      <w:r>
        <w:t xml:space="preserve">© 2023 Academic Poster Presentation Series |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Legal Practitioner: Navigating the Complexities of the New Zealand Wellington Jurisdiction</dc:title>
  <dc:creator/>
  <dc:language>en</dc:language>
  <cp:keywords/>
  <dcterms:created xsi:type="dcterms:W3CDTF">2026-07-30T07:11:50Z</dcterms:created>
  <dcterms:modified xsi:type="dcterms:W3CDTF">2026-07-30T07:11:50Z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