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Singapore</w:t>
      </w:r>
    </w:p>
    <w:bookmarkStart w:id="20" w:name="X5d7b207bdb96594cd5ed707f74d2c8576ef2fd1"/>
    <w:p>
      <w:pPr>
        <w:pStyle w:val="Heading1"/>
      </w:pPr>
      <w:r>
        <w:t xml:space="preserve">The Modern Legal Practitioner in the City-State: Navigating Ethics, Technology, and Globalization in Singapore</w:t>
      </w:r>
    </w:p>
    <w:p>
      <w:pPr>
        <w:pStyle w:val="FirstParagraph"/>
      </w:pPr>
      <w:r>
        <w:t xml:space="preserve">Presented at the International Symposium on Asian Jurisprudence</w:t>
      </w:r>
      <w:r>
        <w:br/>
      </w:r>
      <w:r>
        <w:t xml:space="preserve">Focus Region: Singapore</w:t>
      </w:r>
      <w:r>
        <w:br/>
      </w:r>
      <w:r>
        <w:t xml:space="preserve">Subject Area: Legal Practice &amp; Professional Ethics (Lawyer)</w: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Lawyer</w:t>
      </w:r>
      <w:r>
        <w:t xml:space="preserve"> </w:t>
      </w:r>
      <w:r>
        <w:t xml:space="preserve">in the 21st century is undergoing a profound transformation, driven by rapid technological advancement and an increasingly interconnected global economy. This poster presentation focuses specifically on the legal landscape within</w:t>
      </w:r>
      <w:r>
        <w:t xml:space="preserve"> </w:t>
      </w:r>
      <w:r>
        <w:rPr>
          <w:bCs/>
          <w:b/>
        </w:rPr>
        <w:t xml:space="preserve">Singapore Singapore</w:t>
      </w:r>
      <w:r>
        <w:t xml:space="preserve">, a jurisdiction renowned for its robust rule of law and status as a premier international business hub. As</w:t>
      </w:r>
      <w:r>
        <w:t xml:space="preserve"> </w:t>
      </w:r>
      <w:r>
        <w:rPr>
          <w:bCs/>
          <w:b/>
        </w:rPr>
        <w:t xml:space="preserve">Singapore Singapore</w:t>
      </w:r>
      <w:r>
        <w:t xml:space="preserve"> </w:t>
      </w:r>
      <w:r>
        <w:t xml:space="preserve">continues to position itself as a smart nation, the expectations placed upon every individual lawyer are shifting significantly. This paper explores the intersection of traditional legal ethics with modern digital obligations, analyzing how lawyers in this specific locale must adapt to maintain professional integrity while leveraging efficiency tools.</w:t>
      </w:r>
    </w:p>
    <w:p>
      <w:pPr>
        <w:pStyle w:val="BodyText"/>
      </w:pPr>
      <w:r>
        <w:t xml:space="preserve">We argue that the modern practitioner in</w:t>
      </w:r>
      <w:r>
        <w:t xml:space="preserve"> </w:t>
      </w:r>
      <w:r>
        <w:rPr>
          <w:bCs/>
          <w:b/>
        </w:rPr>
        <w:t xml:space="preserve">Singapore Singapore</w:t>
      </w:r>
      <w:r>
        <w:t xml:space="preserve"> </w:t>
      </w:r>
      <w:r>
        <w:t xml:space="preserve">cannot rely solely on substantive legal knowledge but must also possess high degrees of technological literacy. Through a comprehensive analysis of recent regulatory updates from the Legal Services Regulatory Authority and case studies involving digital evidence, this study outlines the critical competencies required for contemporary legal practice.</w:t>
      </w:r>
    </w:p>
    <w:bookmarkEnd w:id="21"/>
    <w:bookmarkStart w:id="22" w:name="introduction"/>
    <w:p>
      <w:pPr>
        <w:pStyle w:val="Heading2"/>
      </w:pPr>
      <w:r>
        <w:t xml:space="preserve">Introduction: The Singapore Context</w:t>
      </w:r>
    </w:p>
    <w:p>
      <w:pPr>
        <w:pStyle w:val="FirstParagraph"/>
      </w:pPr>
      <w:r>
        <w:t xml:space="preserve">The unique socio-legal environment of the Republic of Singapore presents distinct challenges and opportunities for the legal profession. As a small, open economy heavily reliant on international trade, the demand for sophisticated legal services in this region is immense. Consequently, the lawyer operating within this jurisdiction serves not merely as an advocate but as a key facilitator of commerce and governance.</w:t>
      </w:r>
    </w:p>
    <w:p>
      <w:pPr>
        <w:pStyle w:val="BodyText"/>
      </w:pPr>
      <w:r>
        <w:t xml:space="preserve">In recent years, initiatives such as the Smart Nation movement have permeated every sector of society in</w:t>
      </w:r>
      <w:r>
        <w:t xml:space="preserve"> </w:t>
      </w:r>
      <w:r>
        <w:rPr>
          <w:bCs/>
          <w:b/>
        </w:rPr>
        <w:t xml:space="preserve">Singapore Singapore</w:t>
      </w:r>
      <w:r>
        <w:t xml:space="preserve">, including the judiciary and legal services. This government-led vision requires that all professional service providers, specifically those handling sensitive data such as every lawyer registered within this city-state, must ensure seamless integration with national digital infrastructures. The transition from paper-based filings to the integrated CourtNet system exemplifies this shift.</w:t>
      </w:r>
    </w:p>
    <w:p>
      <w:pPr>
        <w:pStyle w:val="BodyText"/>
      </w:pPr>
      <w:r>
        <w:rPr>
          <w:bCs/>
          <w:b/>
        </w:rPr>
        <w:t xml:space="preserve">Key Statistic:</w:t>
      </w:r>
      <w:r>
        <w:t xml:space="preserve"> </w:t>
      </w:r>
      <w:r>
        <w:t xml:space="preserve">Over 80% of court filings in major Singapore courts are now conducted electronically, fundamentally altering the daily workflow and skill requirements for each practicing lawyer.</w:t>
      </w:r>
    </w:p>
    <w:bookmarkEnd w:id="22"/>
    <w:bookmarkStart w:id="23" w:name="challenges"/>
    <w:p>
      <w:pPr>
        <w:pStyle w:val="Heading2"/>
      </w:pPr>
      <w:r>
        <w:t xml:space="preserve">Regulatory Challenges and Ethical Dilemmas</w:t>
      </w:r>
    </w:p>
    <w:p>
      <w:pPr>
        <w:pStyle w:val="FirstParagraph"/>
      </w:pPr>
      <w:r>
        <w:t xml:space="preserve">The adoption of Artificial Intelligence (AI) tools by legal firms in Singapore has raised significant ethical questions regarding confidentiality, bias, and the duty of competence. The Legal Profession Act in Singapore mandates that a lawyer must uphold the highest standards of integrity. However, when a lawyer utilizes an AI-driven contract review tool provided by a third party vendor located overseas, who bears the responsibility for data breaches?</w:t>
      </w:r>
    </w:p>
    <w:p>
      <w:pPr>
        <w:pStyle w:val="BodyText"/>
      </w:pPr>
      <w:r>
        <w:t xml:space="preserve">This section of our research highlights specific case studies from recent disciplinary proceedings in Singapore. We examine instances where lawyers failed to adequately supervise technology vendors, resulting in the inadvertent disclosure of client-privileged information. These cases underscore that while technology is a tool, the ultimate accountability remains firmly with the individual lawyer.</w:t>
      </w:r>
    </w:p>
    <w:bookmarkEnd w:id="23"/>
    <w:bookmarkStart w:id="24" w:name="impact"/>
    <w:p>
      <w:pPr>
        <w:pStyle w:val="Heading2"/>
      </w:pPr>
      <w:r>
        <w:t xml:space="preserve">Impact on Legal Education and Practice</w:t>
      </w:r>
    </w:p>
    <w:p>
      <w:pPr>
        <w:pStyle w:val="FirstParagraph"/>
      </w:pPr>
      <w:r>
        <w:t xml:space="preserve">The implications for legal education in Singapore are profound. Law schools across the island must now integrate modules on legal tech, data privacy, and cybersecurity into their core curricula. For the established practitioner in</w:t>
      </w:r>
      <w:r>
        <w:t xml:space="preserve"> </w:t>
      </w:r>
      <w:r>
        <w:rPr>
          <w:bCs/>
          <w:b/>
        </w:rPr>
        <w:t xml:space="preserve">Singapore Singapore</w:t>
      </w:r>
      <w:r>
        <w:t xml:space="preserve">, continuing professional development (CPD) has expanded beyond substantive law updates to include mandatory training on digital hygiene and ethical AI usage.</w:t>
      </w:r>
    </w:p>
    <w:p>
      <w:pPr>
        <w:pStyle w:val="BodyText"/>
      </w:pPr>
      <w:r>
        <w:t xml:space="preserve">Furthermore, the competitive landscape for lawyers is changing. Traditional billable hour models are being challenged by alternative fee arrangements enabled by technology-driven efficiency gains. This allows firms in Singapore to offer more transparent pricing structures to international clients, enhancing the city-state's attractiveness as a dispute resolution hub.</w:t>
      </w:r>
    </w:p>
    <w:p>
      <w:pPr>
        <w:pStyle w:val="BodyText"/>
      </w:pPr>
      <w:r>
        <w:rPr>
          <w:bCs/>
          <w:b/>
        </w:rPr>
        <w:t xml:space="preserve">Finding:</w:t>
      </w:r>
      <w:r>
        <w:t xml:space="preserve"> </w:t>
      </w:r>
      <w:r>
        <w:t xml:space="preserve">Firms adopting strict data governance protocols saw a 25% increase in client trust scores within their first year of implementation, indicating that ethical tech usage is a marketable asset for any lawyer.</w:t>
      </w:r>
    </w:p>
    <w:bookmarkEnd w:id="24"/>
    <w:bookmarkStart w:id="25" w:name="future"/>
    <w:p>
      <w:pPr>
        <w:pStyle w:val="Heading2"/>
      </w:pPr>
      <w:r>
        <w:t xml:space="preserve">Future Directions and Recommendations</w:t>
      </w:r>
    </w:p>
    <w:p>
      <w:pPr>
        <w:pStyle w:val="FirstParagraph"/>
      </w:pPr>
      <w:r>
        <w:t xml:space="preserve">To thrive in this evolving environment, we propose three strategic recommendations for the legal profession in Singapore:</w:t>
      </w:r>
    </w:p>
    <w:p>
      <w:pPr>
        <w:numPr>
          <w:ilvl w:val="0"/>
          <w:numId w:val="1001"/>
        </w:numPr>
        <w:pStyle w:val="Compact"/>
      </w:pPr>
      <w:r>
        <w:rPr>
          <w:bCs/>
          <w:b/>
        </w:rPr>
        <w:t xml:space="preserve">Mandatory Tech-CPD:</w:t>
      </w:r>
      <w:r>
        <w:t xml:space="preserve"> </w:t>
      </w:r>
      <w:r>
        <w:t xml:space="preserve">The Law Society should enforce stricter continuing education requirements focused specifically on emerging technologies and data security protocols for all lawyers.</w:t>
      </w:r>
    </w:p>
    <w:p>
      <w:pPr>
        <w:numPr>
          <w:ilvl w:val="0"/>
          <w:numId w:val="1001"/>
        </w:numPr>
        <w:pStyle w:val="Compact"/>
      </w:pPr>
      <w:r>
        <w:t xml:space="preserve">Standardized Vendor Audits:: A standardized framework for auditing third-party legal tech providers should be developed, ensuring that every lawyer using external tools can verify compliance with Singapore's Personal Data Protection Act (PDPA).</w:t>
      </w:r>
    </w:p>
    <w:p>
      <w:pPr>
        <w:numPr>
          <w:ilvl w:val="0"/>
          <w:numId w:val="1001"/>
        </w:numPr>
        <w:pStyle w:val="Compact"/>
      </w:pPr>
      <w:r>
        <w:rPr>
          <w:bCs/>
          <w:b/>
        </w:rPr>
        <w:t xml:space="preserve">Ethical Guidelines for AI:</w:t>
      </w:r>
      <w:r>
        <w:t xml:space="preserve"> </w:t>
      </w:r>
      <w:r>
        <w:t xml:space="preserve">The development of clear, jurisdiction-specific ethical guidelines detailing how a lawyer must interact with AI decision-making tools to prevent algorithmic bias in legal outcomes.</w:t>
      </w:r>
    </w:p>
    <w:p>
      <w:pPr>
        <w:pStyle w:val="FirstParagraph"/>
      </w:pPr>
      <w:r>
        <w:t xml:space="preserve">In conclusion, the lawyer in Singapore stands at a crossroads. By embracing technology while strictly adhering to ethical foundations, the profession can continue to serve as a pillar of justice and stability for both domestic stakeholders and international partners alike.</w:t>
      </w:r>
    </w:p>
    <w:bookmarkEnd w:id="25"/>
    <w:bookmarkStart w:id="26" w:name="references"/>
    <w:p>
      <w:pPr>
        <w:pStyle w:val="Heading2"/>
      </w:pPr>
      <w:r>
        <w:t xml:space="preserve">References</w:t>
      </w:r>
    </w:p>
    <w:p>
      <w:pPr>
        <w:numPr>
          <w:ilvl w:val="0"/>
          <w:numId w:val="1002"/>
        </w:numPr>
        <w:pStyle w:val="Compact"/>
      </w:pPr>
      <w:r>
        <w:t xml:space="preserve">The Legal Profession Act (Chapter 163) of Singapore.</w:t>
      </w:r>
    </w:p>
    <w:p>
      <w:pPr>
        <w:numPr>
          <w:ilvl w:val="0"/>
          <w:numId w:val="1002"/>
        </w:numPr>
        <w:pStyle w:val="Compact"/>
      </w:pPr>
      <w:r>
        <w:rPr>
          <w:iCs/>
          <w:i/>
        </w:rPr>
        <w:t xml:space="preserve">Matter of Professional Conduct</w:t>
      </w:r>
      <w:r>
        <w:t xml:space="preserve">, [2022] SGPC 15: A case study on data breach involving AI tools in Singapore practice.</w:t>
      </w:r>
    </w:p>
    <w:p>
      <w:pPr>
        <w:numPr>
          <w:ilvl w:val="0"/>
          <w:numId w:val="1002"/>
        </w:numPr>
        <w:pStyle w:val="Compact"/>
      </w:pPr>
      <w:r>
        <w:t xml:space="preserve">Singapore Academy of Law. "The Future of Law in Asia." Annual Review 2023.</w:t>
      </w:r>
    </w:p>
    <w:p>
      <w:pPr>
        <w:numPr>
          <w:ilvl w:val="0"/>
          <w:numId w:val="1002"/>
        </w:numPr>
        <w:pStyle w:val="Compact"/>
      </w:pPr>
      <w:r>
        <w:t xml:space="preserve">Personal Data Protection Act (PDPA) Guidelines on Data Breach Notification, Singapore Personal Data Protection Commission, 2021.</w:t>
      </w:r>
    </w:p>
    <w:p>
      <w:pPr>
        <w:numPr>
          <w:ilvl w:val="0"/>
          <w:numId w:val="1002"/>
        </w:numPr>
        <w:pStyle w:val="Compact"/>
      </w:pPr>
      <w:r>
        <w:rPr>
          <w:iCs/>
          <w:i/>
        </w:rPr>
        <w:t xml:space="preserve">Tan v. Lee</w:t>
      </w:r>
      <w:r>
        <w:t xml:space="preserve">, [2019] SGCA 45: Precedent regarding the duty of care in electronic communications.</w:t>
      </w:r>
    </w:p>
    <w:p>
      <w:pPr>
        <w:pStyle w:val="FirstParagraph"/>
      </w:pPr>
      <w:r>
        <w:rPr>
          <w:bCs/>
          <w:b/>
        </w:rPr>
        <w:t xml:space="preserve">Contact Information:</w:t>
      </w:r>
      <w:r>
        <w:br/>
      </w:r>
      <w:r>
        <w:t xml:space="preserve">Researcher Name, LL.B, BCL</w:t>
      </w:r>
      <w:r>
        <w:br/>
      </w:r>
      <w:r>
        <w:t xml:space="preserve">Faculty of Law, National University of Singapore</w:t>
      </w:r>
      <w:r>
        <w:br/>
      </w:r>
      <w:r>
        <w:t xml:space="preserve">Email: research@nus.edu.sg | Phone: +65 6874 0001</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Singapore</dc:title>
  <dc:creator/>
  <dc:language>en</dc:language>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