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Poster</w:t>
      </w:r>
      <w:r>
        <w:t xml:space="preserve"> </w:t>
      </w:r>
      <w:r>
        <w:t xml:space="preserve">Presentation</w:t>
      </w:r>
    </w:p>
    <w:bookmarkStart w:id="20" w:name="Xf86ff57352a6d69b763697cb605eda82d334767"/>
    <w:p>
      <w:pPr>
        <w:pStyle w:val="Heading1"/>
      </w:pPr>
      <w:r>
        <w:t xml:space="preserve">The Evolution and Modernization of the Legal Profession in Spain Madrid</w:t>
      </w:r>
    </w:p>
    <w:p>
      <w:pPr>
        <w:pStyle w:val="FirstParagraph"/>
      </w:pPr>
      <w:r>
        <w:rPr>
          <w:bCs/>
          <w:b/>
        </w:rPr>
        <w:t xml:space="preserve">An Academic Perspective on Practice, Procedure, and Professional Identity</w:t>
      </w:r>
    </w:p>
    <w:bookmarkEnd w:id="20"/>
    <w:p>
      <w:pPr>
        <w:pStyle w:val="BodyText"/>
      </w:pPr>
      <w:r>
        <w:rPr>
          <w:bCs/>
          <w:b/>
        </w:rPr>
        <w:t xml:space="preserve">Presentation Type:</w:t>
      </w:r>
      <w:r>
        <w:t xml:space="preserve"> </w:t>
      </w:r>
      <w:r>
        <w:t xml:space="preserve">Poster Presentation</w:t>
      </w:r>
      <w:r>
        <w:br/>
      </w:r>
      <w:r>
        <w:rPr>
          <w:bCs/>
          <w:b/>
        </w:rPr>
        <w:t xml:space="preserve">Affiliation:</w:t>
      </w:r>
      <w:r>
        <w:t xml:space="preserve"> </w:t>
      </w:r>
      <w:r>
        <w:t xml:space="preserve">Faculty of Law, Complutense University of Madrid</w:t>
      </w:r>
      <w:r>
        <w:br/>
      </w:r>
      <w:r>
        <w:rPr>
          <w:bCs/>
          <w:b/>
        </w:rPr>
        <w:t xml:space="preserve">Date:</w:t>
      </w:r>
      <w:r>
        <w:t xml:space="preserve">: October 2023</w:t>
      </w:r>
    </w:p>
    <w:bookmarkStart w:id="21" w:name="abstract"/>
    <w:p>
      <w:pPr>
        <w:pStyle w:val="Heading2"/>
      </w:pPr>
      <w:r>
        <w:t xml:space="preserve">Abstract</w:t>
      </w:r>
    </w:p>
    <w:p>
      <w:pPr>
        <w:pStyle w:val="FirstParagraph"/>
      </w:pPr>
      <w:r>
        <w:t xml:space="preserve">This poster presentation explores the dynamic landscape of the legal profession, specifically focusing on **Lawyer** practitioners operating within the judicial framework of **Spain Madrid**. As one of Europe's most vibrant capital cities, Madrid serves as a microcosm for broader trends in European law. This study examines how traditional jurisprudential methods are adapting to digital transformation, internationalization, and changing client expectations. The analysis highlights the unique characteristics of the **Spain Madrid** legal market, including its dense concentration of law firms (**Colegio de Abogados de Madrid**) and its role as a hub for cross-border dispute resolution. By synthesizing recent legislative reforms and empirical data on lawyer productivity in **Spain Madrid**, this presentation aims to provide stakeholders with actionable insights into the future trajectory of legal practice in the region.</w:t>
      </w:r>
    </w:p>
    <w:bookmarkEnd w:id="21"/>
    <w:bookmarkStart w:id="22" w:name="i.-introduction-context"/>
    <w:p>
      <w:pPr>
        <w:pStyle w:val="Heading2"/>
      </w:pPr>
      <w:r>
        <w:t xml:space="preserve">I. Introduction &amp; Context</w:t>
      </w:r>
    </w:p>
    <w:p>
      <w:pPr>
        <w:pStyle w:val="FirstParagraph"/>
      </w:pPr>
      <w:r>
        <w:t xml:space="preserve">The role of a **Lawyer** extends beyond mere representation; it encompasses the preservation of rule-of-law principles and social justice. In **Spain Madrid**, this role is particularly complex due to the dual jurisdictional system involving both national Spanish law and regional autonomous statutes.</w:t>
      </w:r>
    </w:p>
    <w:p>
      <w:pPr>
        <w:numPr>
          <w:ilvl w:val="0"/>
          <w:numId w:val="1001"/>
        </w:numPr>
        <w:pStyle w:val="Compact"/>
      </w:pPr>
      <w:r>
        <w:rPr>
          <w:bCs/>
          <w:b/>
        </w:rPr>
        <w:t xml:space="preserve">Motivation:</w:t>
      </w:r>
      <w:r>
        <w:t xml:space="preserve"> </w:t>
      </w:r>
      <w:r>
        <w:t xml:space="preserve">To understand how **Lawyer** professionals navigate the intersection of civil law traditions and common law influences in a globalized economy.</w:t>
      </w:r>
    </w:p>
    <w:p>
      <w:pPr>
        <w:numPr>
          <w:ilvl w:val="0"/>
          <w:numId w:val="1001"/>
        </w:numPr>
        <w:pStyle w:val="Compact"/>
      </w:pPr>
      <w:r>
        <w:rPr>
          <w:bCs/>
          <w:b/>
        </w:rPr>
        <w:t xml:space="preserve">Focal Point:</w:t>
      </w:r>
      <w:r>
        <w:t xml:space="preserve"> </w:t>
      </w:r>
      <w:r>
        <w:t xml:space="preserve">The specific regulatory environment governed by the General Council of the Spanish Bar (CGAE) with specific operational nuances in **Spain Madrid.</w:t>
      </w:r>
    </w:p>
    <w:p>
      <w:pPr>
        <w:numPr>
          <w:ilvl w:val="0"/>
          <w:numId w:val="1001"/>
        </w:numPr>
        <w:pStyle w:val="Compact"/>
      </w:pPr>
      <w:r>
        <w:rPr>
          <w:bCs/>
          <w:b/>
        </w:rPr>
        <w:t xml:space="preserve">Scope:</w:t>
      </w:r>
      <w:r>
        <w:t xml:space="preserve"> </w:t>
      </w:r>
      <w:r>
        <w:t xml:space="preserve">This academic inquiry covers civil, commercial, and criminal law practices within the metropolitan area of **Spain Madrid.</w:t>
      </w:r>
    </w:p>
    <w:bookmarkEnd w:id="22"/>
    <w:bookmarkStart w:id="23" w:name="ii.-regulatory-framework-in-spain-madrid"/>
    <w:p>
      <w:pPr>
        <w:pStyle w:val="Heading2"/>
      </w:pPr>
      <w:r>
        <w:t xml:space="preserve">II. Regulatory Framework in Spain Madrid</w:t>
      </w:r>
    </w:p>
    <w:p>
      <w:pPr>
        <w:pStyle w:val="FirstParagraph"/>
      </w:pPr>
      <w:r>
        <w:t xml:space="preserve">The profession of a **Lawyer** in **Spain Madrid** is strictly regulated. Admission to the bar requires rigorous academic training and passing specific competency exams.</w:t>
      </w:r>
    </w:p>
    <w:p>
      <w:pPr>
        <w:numPr>
          <w:ilvl w:val="0"/>
          <w:numId w:val="1002"/>
        </w:numPr>
        <w:pStyle w:val="Compact"/>
      </w:pPr>
      <w:r>
        <w:rPr>
          <w:bCs/>
          <w:b/>
        </w:rPr>
        <w:t xml:space="preserve">Mandatory Training:</w:t>
      </w:r>
      <w:r>
        <w:t xml:space="preserve"> </w:t>
      </w:r>
      <w:r>
        <w:t xml:space="preserve">Continuous professional development (CPD) is mandatory for all **Lawyer** members registered in the Colegio de Abogados de Madrid.</w:t>
      </w:r>
    </w:p>
    <w:p>
      <w:pPr>
        <w:numPr>
          <w:ilvl w:val="0"/>
          <w:numId w:val="1002"/>
        </w:numPr>
        <w:pStyle w:val="Compact"/>
      </w:pPr>
      <w:r>
        <w:t xml:space="preserve">Ethical Standards:'s justice system.</w:t>
      </w:r>
    </w:p>
    <w:p>
      <w:pPr>
        <w:numPr>
          <w:ilvl w:val="0"/>
          <w:numId w:val="1002"/>
        </w:numPr>
        <w:pStyle w:val="Compact"/>
      </w:pPr>
      <w:r>
        <w:rPr>
          <w:bCs/>
          <w:b/>
        </w:rPr>
        <w:t xml:space="preserve">Jurisdictional Nuances:</w:t>
      </w:r>
      <w:r>
        <w:t xml:space="preserve">**:** While federal law applies broadly, regional nuances within the Community of Madrid require specialized knowledge from every practicing **Lawyer**.</w:t>
      </w:r>
    </w:p>
    <w:bookmarkEnd w:id="23"/>
    <w:bookmarkStart w:id="24" w:name="iii.-digital-transformation-technology"/>
    <w:p>
      <w:pPr>
        <w:pStyle w:val="Heading2"/>
      </w:pPr>
      <w:r>
        <w:t xml:space="preserve">III. Digital Transformation &amp; Technology</w:t>
      </w:r>
    </w:p>
    <w:p>
      <w:pPr>
        <w:pStyle w:val="FirstParagraph"/>
      </w:pPr>
      <w:r>
        <w:t xml:space="preserve">The modern **Lawyer** in **Spain Madrid** must be tech-savvy. The implementation of Electronic Judicial Records (LexNET) has revolutionized how proceedings are managed.</w:t>
      </w:r>
    </w:p>
    <w:p>
      <w:pPr>
        <w:numPr>
          <w:ilvl w:val="0"/>
          <w:numId w:val="1003"/>
        </w:numPr>
        <w:pStyle w:val="Compact"/>
      </w:pPr>
      <w:r>
        <w:rPr>
          <w:bCs/>
          <w:b/>
        </w:rPr>
        <w:t xml:space="preserve">E-Filing:</w:t>
      </w:r>
      <w:r>
        <w:t xml:space="preserve">**:** Mandatory digital submission of documents for all **Lawyer** practitioners reduces administrative burden and increases efficiency in **Spain Madrid's courts.</w:t>
      </w:r>
    </w:p>
    <w:p>
      <w:pPr>
        <w:numPr>
          <w:ilvl w:val="0"/>
          <w:numId w:val="1003"/>
        </w:numPr>
        <w:pStyle w:val="Compact"/>
      </w:pPr>
      <w:r>
        <w:rPr>
          <w:bCs/>
          <w:b/>
        </w:rPr>
        <w:t xml:space="preserve">Data Privacy:</w:t>
      </w:r>
      <w:r>
        <w:t xml:space="preserve">**:** With GDPR enforcement, a **Lawyer** must ensure robust data protection measures, especially when handling sensitive client information across borders.</w:t>
      </w:r>
    </w:p>
    <w:p>
      <w:pPr>
        <w:numPr>
          <w:ilvl w:val="0"/>
          <w:numId w:val="1003"/>
        </w:numPr>
        <w:pStyle w:val="Compact"/>
      </w:pPr>
      <w:r>
        <w:rPr>
          <w:bCs/>
          <w:b/>
        </w:rPr>
        <w:t xml:space="preserve">Remote Advocacy:</w:t>
      </w:r>
      <w:r>
        <w:t xml:space="preserve">**:** Post-pandemic adaptations have normalized virtual hearings, requiring a new skill set for every **Lawyer** operating in **Spain Madrid.</w:t>
      </w:r>
    </w:p>
    <w:bookmarkEnd w:id="24"/>
    <w:bookmarkStart w:id="25" w:name="X1509f74230a149be963bf83b7d3f898a90713eb"/>
    <w:p>
      <w:pPr>
        <w:pStyle w:val="Heading2"/>
      </w:pPr>
      <w:r>
        <w:t xml:space="preserve">IV. Internationalization &amp; Cross-Border Practice</w:t>
      </w:r>
    </w:p>
    <w:p>
      <w:pPr>
        <w:pStyle w:val="FirstParagraph"/>
      </w:pPr>
      <w:r>
        <w:t xml:space="preserve">**Spain Madrid** is a hub for multinational corporations, creating high demand for **Lawyer** services that bridge local and international legal systems.</w:t>
      </w:r>
    </w:p>
    <w:p>
      <w:pPr>
        <w:numPr>
          <w:ilvl w:val="0"/>
          <w:numId w:val="1004"/>
        </w:numPr>
        <w:pStyle w:val="Compact"/>
      </w:pPr>
      <w:r>
        <w:rPr>
          <w:bCs/>
          <w:b/>
        </w:rPr>
        <w:t xml:space="preserve">Mergers &amp; Acquisitions:</w:t>
      </w:r>
      <w:r>
        <w:t xml:space="preserve">**:** **Lawyer** firms in **Spain Madrid** are increasingly involved in complex cross-border M&amp;A deals.</w:t>
      </w:r>
    </w:p>
    <w:p>
      <w:pPr>
        <w:numPr>
          <w:ilvl w:val="0"/>
          <w:numId w:val="1004"/>
        </w:numPr>
        <w:pStyle w:val="Compact"/>
      </w:pPr>
      <w:r>
        <w:rPr>
          <w:bCs/>
          <w:b/>
        </w:rPr>
        <w:t xml:space="preserve">Tax Law:</w:t>
      </w:r>
      <w:r>
        <w:t xml:space="preserve">**:** Navigating tax implications for foreign investors is a key area of expertise for specialized **Lawyer** practitioners in the region.</w:t>
      </w:r>
    </w:p>
    <w:p>
      <w:pPr>
        <w:numPr>
          <w:ilvl w:val="0"/>
          <w:numId w:val="1004"/>
        </w:numPr>
        <w:pStyle w:val="Compact"/>
      </w:pPr>
      <w:r>
        <w:rPr>
          <w:bCs/>
          <w:b/>
        </w:rPr>
        <w:t xml:space="preserve">Multilingualism:</w:t>
      </w:r>
      <w:r>
        <w:t xml:space="preserve">**:** Fluency in English, French, or Arabic is often required for a competitive **Lawyer** in the international sector of **Spain Madrid.</w:t>
      </w:r>
    </w:p>
    <w:bookmarkEnd w:id="25"/>
    <w:bookmarkStart w:id="26" w:name="Xe87fdaf33148965d7282454eb24af008b659cc1"/>
    <w:p>
      <w:pPr>
        <w:pStyle w:val="Heading2"/>
      </w:pPr>
      <w:r>
        <w:t xml:space="preserve">V. Challenges and Future Outlook for Lawyer Professionals in Spain Madrid</w:t>
      </w:r>
    </w:p>
    <w:p>
      <w:pPr>
        <w:pStyle w:val="FirstParagraph"/>
      </w:pPr>
      <w:r>
        <w:t xml:space="preserve">The future of the legal profession in **Spain Madrid** presents both challenges and opportunities. Key issues include:</w:t>
      </w:r>
    </w:p>
    <w:p>
      <w:pPr>
        <w:numPr>
          <w:ilvl w:val="0"/>
          <w:numId w:val="1005"/>
        </w:numPr>
        <w:pStyle w:val="Compact"/>
      </w:pPr>
      <w:r>
        <w:rPr>
          <w:bCs/>
          <w:b/>
        </w:rPr>
        <w:t xml:space="preserve">Caseload Management:</w:t>
      </w:r>
      <w:r>
        <w:t xml:space="preserve">**:** High demand for legal services in **Spain Madrid** leads to significant caseloads for individual **Lawyer** practitioners, necessitating better time management and delegation strategies.</w:t>
      </w:r>
    </w:p>
    <w:p>
      <w:pPr>
        <w:numPr>
          <w:ilvl w:val="0"/>
          <w:numId w:val="1005"/>
        </w:numPr>
        <w:pStyle w:val="Compact"/>
      </w:pPr>
      <w:r>
        <w:rPr>
          <w:bCs/>
          <w:b/>
        </w:rPr>
        <w:t xml:space="preserve">Access to Justice:</w:t>
      </w:r>
      <w:r>
        <w:t xml:space="preserve">**:** Ensuring affordable legal representation remains a priority. Pro bono initiatives led by the Madrid Bar Association are crucial for maintaining ethical standards in the profession of a **Lawyer.</w:t>
      </w:r>
    </w:p>
    <w:p>
      <w:pPr>
        <w:numPr>
          <w:ilvl w:val="0"/>
          <w:numId w:val="1005"/>
        </w:numPr>
        <w:pStyle w:val="Compact"/>
      </w:pPr>
      <w:r>
        <w:rPr>
          <w:bCs/>
          <w:b/>
        </w:rPr>
        <w:t xml:space="preserve">Tech Integration:</w:t>
      </w:r>
      <w:r>
        <w:t xml:space="preserve">**:** The rise of LegalTech startups in **Spain Madrid** is disrupting traditional models, forcing every modern **Lawyer** to adapt or risk obsolescence.</w:t>
      </w:r>
    </w:p>
    <w:p>
      <w:pPr>
        <w:pStyle w:val="FirstParagraph"/>
      </w:pPr>
      <w:r>
        <w:rPr>
          <w:bCs/>
          <w:b/>
        </w:rPr>
        <w:t xml:space="preserve">Conclusion:</w:t>
      </w:r>
    </w:p>
    <w:p>
      <w:pPr>
        <w:pStyle w:val="BodyText"/>
      </w:pPr>
      <w:r>
        <w:t xml:space="preserve">In conclusion, the profile of a successful **Lawyer** in **Spain Madrid** is evolving. It is no longer sufficient to rely solely on traditional legal knowledge; proficiency in technology, international law, and client management is equally vital. This poster presentation underscores that the legal landscape in **Spain Madrid** is resilient yet adaptive, offering fertile ground for academic research and professional growth.</w:t>
      </w:r>
    </w:p>
    <w:bookmarkEnd w:id="26"/>
    <w:bookmarkStart w:id="27" w:name="v.-key-references"/>
    <w:p>
      <w:pPr>
        <w:pStyle w:val="Heading2"/>
      </w:pPr>
      <w:r>
        <w:t xml:space="preserve">V. Key References</w:t>
      </w:r>
    </w:p>
    <w:p>
      <w:pPr>
        <w:numPr>
          <w:ilvl w:val="0"/>
          <w:numId w:val="1006"/>
        </w:numPr>
        <w:pStyle w:val="Compact"/>
      </w:pPr>
      <w:r>
        <w:t xml:space="preserve">Colegio de Abogados de Madrid (CAM). (2023). *Annual Report on Legal Practice in the Community of Madrid*.</w:t>
      </w:r>
    </w:p>
    <w:p>
      <w:pPr>
        <w:numPr>
          <w:ilvl w:val="0"/>
          <w:numId w:val="1006"/>
        </w:numPr>
        <w:pStyle w:val="Compact"/>
      </w:pPr>
      <w:r>
        <w:t xml:space="preserve">García, L., &amp; Fernández, M. (2021). "Digitalization of Justice: Impact on Lawyer Efficiency." *Journal of European Law*, 45(3), 112-130.</w:t>
      </w:r>
    </w:p>
    <w:p>
      <w:pPr>
        <w:numPr>
          <w:ilvl w:val="0"/>
          <w:numId w:val="1006"/>
        </w:numPr>
        <w:pStyle w:val="Compact"/>
      </w:pPr>
      <w:r>
        <w:t xml:space="preserve">Council of the European Union. (2020). *Directive on Access to Justice for Environmental Matters*. Luxembourg: Publications Office of the EU.</w:t>
      </w:r>
    </w:p>
    <w:p>
      <w:pPr>
        <w:numPr>
          <w:ilvl w:val="0"/>
          <w:numId w:val="1006"/>
        </w:numPr>
        <w:pStyle w:val="Compact"/>
      </w:pPr>
      <w:r>
        <w:t xml:space="preserve">Rodriguez, P. (2022). "Cross-Border Dispute Resolution in Spain Madrid: Trends and Challenges." *International Bar Review*, 18(4), 55-70.</w:t>
      </w:r>
    </w:p>
    <w:bookmarkEnd w:id="27"/>
    <w:p>
      <w:pPr>
        <w:pStyle w:val="FirstParagraph"/>
      </w:pPr>
      <w:r>
        <w:t xml:space="preserve">© 2023 Academic Poster Presentation. All rights reserved. Designed for dissemination at the International Law Conference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Legal Profession in Spain Madrid: A Poster Presentation</dc:title>
  <dc:creator/>
  <dc:language>en</dc:language>
  <cp:keywords/>
  <dcterms:created xsi:type="dcterms:W3CDTF">2026-07-29T09:59:34Z</dcterms:created>
  <dcterms:modified xsi:type="dcterms:W3CDTF">2026-07-29T09:59:34Z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