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7eb951bbba62bee8a9d7abcd96d0826ba9baca9"/>
    <w:p>
      <w:pPr>
        <w:pStyle w:val="Heading1"/>
      </w:pPr>
      <w:r>
        <w:t xml:space="preserve">The Role of Lawyers in Turkey Ankara: A Modern Perspective on Legal Practice and Judicial Reform</w:t>
      </w:r>
    </w:p>
    <w:p>
      <w:pPr>
        <w:pStyle w:val="FirstParagraph"/>
      </w:pPr>
      <w:r>
        <w:t xml:space="preserve">This academic poster explores the evolving landscape of legal practice within the capital city of Turkey, focusing specifically on how lawyers navigate complex regulatory environments while championing justice and rule of law principles.</w:t>
      </w:r>
    </w:p>
    <w:bookmarkEnd w:id="20"/>
    <w:bookmarkStart w:id="23" w:name="introduction"/>
    <w:bookmarkStart w:id="22" w:name="introduction-context"/>
    <w:p>
      <w:pPr>
        <w:pStyle w:val="Heading2"/>
      </w:pPr>
      <w:r>
        <w:t xml:space="preserve">Introduction &amp; Context</w:t>
      </w:r>
    </w:p>
    <w:p>
      <w:pPr>
        <w:pStyle w:val="FirstParagraph"/>
      </w:pPr>
      <w:r>
        <w:t xml:space="preserve">Ankara stands as the political heartland of Turkey, hosting key institutions such as the Constitutional Court, Supreme Court and Ministry Justice. Within this dynamic environment , lawyers play pivotal roles not only in representing clients but also shaping legal discourse through litigation advocacy policy formulation judicial reform initiatives.</w:t>
      </w:r>
    </w:p>
    <w:bookmarkStart w:id="21" w:name="why-focus-on-ankara"/>
    <w:p>
      <w:pPr>
        <w:pStyle w:val="Heading3"/>
      </w:pPr>
      <w:r>
        <w:t xml:space="preserve">Why Focus on Ankara?</w:t>
      </w:r>
    </w:p>
    <w:p>
      <w:pPr>
        <w:numPr>
          <w:ilvl w:val="0"/>
          <w:numId w:val="1001"/>
        </w:numPr>
        <w:pStyle w:val="Compact"/>
      </w:pPr>
      <w:r>
        <w:t xml:space="preserve">Ankara's unique position as a center for government operations means many cases involving state actors require specialized expertise from local practitioners.</w:t>
      </w:r>
    </w:p>
    <w:p>
      <w:pPr>
        <w:numPr>
          <w:ilvl w:val="0"/>
          <w:numId w:val="1001"/>
        </w:numPr>
        <w:pStyle w:val="Compact"/>
      </w:pPr>
      <w:r>
        <w:t xml:space="preserve">The city serves as a hub for international organizations operating in Turkey, necessitating cross-border legal solutions.</w:t>
      </w:r>
    </w:p>
    <w:bookmarkEnd w:id="21"/>
    <w:bookmarkEnd w:id="22"/>
    <w:bookmarkEnd w:id="23"/>
    <w:bookmarkStart w:id="25" w:name="methodology"/>
    <w:bookmarkStart w:id="24" w:name="methodological-approach"/>
    <w:p>
      <w:pPr>
        <w:pStyle w:val="Heading2"/>
      </w:pPr>
      <w:r>
        <w:t xml:space="preserve">Methodological Approach</w:t>
      </w:r>
    </w:p>
    <w:p>
      <w:pPr>
        <w:pStyle w:val="FirstParagraph"/>
      </w:pPr>
      <w:r>
        <w:t xml:space="preserve">To comprehensively understand the current state of lawyering in Ankara our research employs mixed-methods approach combining quantitative analysis court statistics qualitative interviews with prominent attorneys across various fields including civil rights corporate law human rights.</w:t>
      </w:r>
    </w:p>
    <w:p>
      <w:pPr>
        <w:pStyle w:val="BodyText"/>
      </w:pPr>
      <w:r>
        <w:rPr>
          <w:bCs/>
          <w:b/>
        </w:rPr>
        <w:t xml:space="preserve">Data Sources:</w:t>
      </w:r>
      <w:r>
        <w:br/>
      </w:r>
      <w:r>
        <w:t xml:space="preserve">- Interviews conducted between January March 2024</w:t>
      </w:r>
      <w:r>
        <w:br/>
      </w:r>
      <w:r>
        <w:t xml:space="preserve">- Court records reviewed over five-year period (2019-2023)</w:t>
      </w:r>
      <w:r>
        <w:br/>
      </w:r>
      <w:r>
        <w:t xml:space="preserve">- Surveys distributed among members of Ankara Bar Association</w:t>
      </w:r>
    </w:p>
    <w:bookmarkEnd w:id="24"/>
    <w:bookmarkEnd w:id="25"/>
    <w:bookmarkStart w:id="27" w:name="findings"/>
    <w:bookmarkStart w:id="26" w:name="key-findings"/>
    <w:p>
      <w:pPr>
        <w:pStyle w:val="Heading3"/>
      </w:pPr>
      <w:r>
        <w:t xml:space="preserve">Key Findings</w:t>
      </w:r>
    </w:p>
    <w:p>
      <w:pPr>
        <w:pStyle w:val="FirstParagraph"/>
      </w:pPr>
      <w:r>
        <w:t xml:space="preserve">Our investigation revealed several critical insights regarding the challenges faced by lawyers in today's socio-political climate:</w:t>
      </w:r>
    </w:p>
    <w:p>
      <w:pPr>
        <w:numPr>
          <w:ilvl w:val="0"/>
          <w:numId w:val="1002"/>
        </w:numPr>
        <w:pStyle w:val="Compact"/>
      </w:pPr>
      <w:r>
        <w:rPr>
          <w:bCs/>
          <w:b/>
        </w:rPr>
        <w:t xml:space="preserve">Digitalization Efforts:</w:t>
      </w:r>
      <w:r>
        <w:t xml:space="preserve">The transition towards digital courts has been largely positive albeit accompanied by significant initial resistance due to lack of adequate training among older generations.</w:t>
      </w:r>
    </w:p>
    <w:p>
      <w:pPr>
        <w:numPr>
          <w:ilvl w:val="0"/>
          <w:numId w:val="1002"/>
        </w:numPr>
        <w:pStyle w:val="Compact"/>
      </w:pPr>
      <w:r>
        <w:rPr>
          <w:bCs/>
          <w:b/>
        </w:rPr>
        <w:t xml:space="preserve">Ethical Standards Under Pressure:</w:t>
      </w:r>
      <w:r>
        <w:t xml:space="preserve">Instances where professional ethics conflict with political pressures have led some practitioners consider leaving their profession altogether.</w:t>
      </w:r>
    </w:p>
    <w:p>
      <w:pPr>
        <w:pStyle w:val="FirstParagraph"/>
      </w:pPr>
      <w:r>
        <w:t xml:space="preserve">Additionally we found that young attorneys are increasingly leveraging social media platforms raise awareness about specific issues affecting marginalized communities thus expanding traditional notions of what constitutes 'legal practice'.</w:t>
      </w:r>
    </w:p>
    <w:bookmarkEnd w:id="26"/>
    <w:bookmarkEnd w:id="27"/>
    <w:bookmarkStart w:id="29" w:name="discussion"/>
    <w:bookmarkStart w:id="28" w:name="discussion-points"/>
    <w:p>
      <w:pPr>
        <w:pStyle w:val="Heading4"/>
      </w:pPr>
      <w:r>
        <w:t xml:space="preserve">Discussion Points</w:t>
      </w:r>
    </w:p>
    <w:p>
      <w:pPr>
        <w:pStyle w:val="FirstParagraph"/>
      </w:pPr>
      <w:r>
        <w:t xml:space="preserve">The tension between independence and accountability remains central theme throughout our analysis. While recent reforms aimed at enhancing transparency within judiciary system represent step forward they simultaneously raise concerns about potential misuse powers by those wielding authority.</w:t>
      </w:r>
    </w:p>
    <w:p>
      <w:pPr>
        <w:pStyle w:val="BlockText"/>
      </w:pPr>
      <w:r>
        <w:t xml:space="preserve">"As guardians of justice , lawyers must remain vigilant against any form interference aimed compromising integrity of proceedings." - Anonymous Senior Advocate from Ankara Bar Association</w:t>
      </w:r>
    </w:p>
    <w:p>
      <w:pPr>
        <w:pStyle w:val="FirstParagraph"/>
      </w:pPr>
      <w:r>
        <w:t xml:space="preserve">We argue that strengthening institutional safeguards ensuring fair treatment all stakeholders involved particularly vulnerable groups requires ongoing dialogue among stakeholders including policymakers judges union representatives etc.</w:t>
      </w:r>
    </w:p>
    <w:bookmarkEnd w:id="28"/>
    <w:bookmarkEnd w:id="29"/>
    <w:bookmarkStart w:id="30" w:name="conclusion"/>
    <w:p>
      <w:pPr>
        <w:pStyle w:val="Heading5"/>
      </w:pPr>
      <w:r>
        <w:t xml:space="preserve">Conclusion</w:t>
      </w:r>
    </w:p>
    <w:p>
      <w:pPr>
        <w:pStyle w:val="FirstParagraph"/>
      </w:pPr>
      <w:r>
        <w:t xml:space="preserve">In conclusion this study underscores importance of maintaining robust support structures enabling effective representation regardless external circumstances. It highlights need continuous education programs addressing emerging trends such as AI-driven litigation tools cyber security measures etc.. Finally it emphasizes commitment uphold highest standards professionalism amidst changing times.</w:t>
      </w:r>
    </w:p>
    <w:p>
      <w:pPr>
        <w:pStyle w:val="BodyText"/>
      </w:pPr>
      <w:r>
        <w:t xml:space="preserve">We encourage further exploration into comparative studies examining similarities differences across regions globally providing broader context understanding local phenomena observed here in Ankara.</w:t>
      </w:r>
    </w:p>
    <w:bookmarkEnd w:id="30"/>
    <w:p>
      <w:pPr>
        <w:pStyle w:val="BodyText"/>
      </w:pPr>
      <w:r>
        <w:t xml:space="preserve">© 2024 Academic Poster Presentation Series. All Rights Reserved.</w:t>
      </w:r>
      <w:r>
        <w:br/>
      </w:r>
      <w:r>
        <w:t xml:space="preserve">For inquiries contact us via email info@academia.edu or visit academia.edu/project/legal-anakara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Lawyers in Turkey Ankara</dc:title>
  <dc:creator/>
  <dc:language>en</dc:language>
  <cp:keywords/>
  <dcterms:created xsi:type="dcterms:W3CDTF">2026-07-29T08:58:29Z</dcterms:created>
  <dcterms:modified xsi:type="dcterms:W3CDTF">2026-07-29T08:58:29Z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