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Poster</w:t>
      </w:r>
      <w:r>
        <w:t xml:space="preserve"> </w:t>
      </w:r>
      <w:r>
        <w:t xml:space="preserve">Presentation</w:t>
      </w:r>
    </w:p>
    <w:bookmarkStart w:id="20" w:name="X35697974bf3b00bdd9342c4a3c060f96106626d"/>
    <w:p>
      <w:pPr>
        <w:pStyle w:val="Heading1"/>
      </w:pPr>
      <w:r>
        <w:t xml:space="preserve">The Evolving Role of the Lawyer in United Arab Emirates Dubai: Navigating Globalization, Innovation, and Legal Reform</w:t>
      </w:r>
    </w:p>
    <w:p>
      <w:pPr>
        <w:pStyle w:val="FirstParagraph"/>
      </w:pPr>
      <w:r>
        <w:t xml:space="preserve">Poster Presentation Academic Document</w:t>
      </w:r>
    </w:p>
    <w:bookmarkEnd w:id="20"/>
    <w:bookmarkStart w:id="21" w:name="abstract"/>
    <w:p>
      <w:pPr>
        <w:pStyle w:val="Heading2"/>
      </w:pPr>
      <w:r>
        <w:t xml:space="preserve">Abstract</w:t>
      </w:r>
    </w:p>
    <w:p>
      <w:pPr>
        <w:pStyle w:val="FirstParagraph"/>
      </w:pPr>
      <w:r>
        <w:t xml:space="preserve">The legal landscape of the United Arab Emirates (UAE), particularly in Dubai, is undergoing a profound transformation. Historically characterized by a civil law system influenced by Egyptian and French jurisprudence, alongside Sharia principles, the nation is rapidly modernizing its legal frameworks to support its vision as a global business hub. This poster presentation explores the critical role of the</w:t>
      </w:r>
      <w:r>
        <w:t xml:space="preserve"> </w:t>
      </w:r>
      <w:r>
        <w:rPr>
          <w:bCs/>
          <w:b/>
        </w:rPr>
        <w:t xml:space="preserve">Lawyer</w:t>
      </w:r>
      <w:r>
        <w:t xml:space="preserve"> </w:t>
      </w:r>
      <w:r>
        <w:t xml:space="preserve">in this dynamic environment within</w:t>
      </w:r>
      <w:r>
        <w:t xml:space="preserve"> </w:t>
      </w:r>
      <w:r>
        <w:rPr>
          <w:bCs/>
          <w:b/>
        </w:rPr>
        <w:t xml:space="preserve">United Arab Emirates Dubai</w:t>
      </w:r>
      <w:r>
        <w:t xml:space="preserve">. It examines how recent legislative reforms, such as those introduced by Federal Decree-Law No. 42 of 2022 regarding the Legal Profession, are redefining professional responsibilities, enhancing market competition, and empowering legal practitioners to serve a diverse international clientele. The document highlights key areas including the establishment of free zones with common law influences, the integration of digital legal technologies (LegalTech), and the necessity for lawyers to possess cross-cultural competency. By analyzing these developments, this presentation argues that lawyers in Dubai are no longer merely interpreters of static codes but are pivotal agents of economic growth and judicial modernization.</w:t>
      </w:r>
    </w:p>
    <w:bookmarkEnd w:id="21"/>
    <w:bookmarkStart w:id="22" w:name="historical-context-and-legal-framework"/>
    <w:p>
      <w:pPr>
        <w:pStyle w:val="Heading2"/>
      </w:pPr>
      <w:r>
        <w:t xml:space="preserve">1. Historical Context and Legal Framework</w:t>
      </w:r>
    </w:p>
    <w:p>
      <w:pPr>
        <w:pStyle w:val="FirstParagraph"/>
      </w:pPr>
      <w:r>
        <w:t xml:space="preserve">The role of the lawyer in the United Arab Emirates has shifted dramatically from a localized advisory function to an international legal practice standard. Traditionally, the UAE legal system was dominated by state-appointed advocates. However, recent reforms have democratized access to legal services.</w:t>
      </w:r>
    </w:p>
    <w:p>
      <w:pPr>
        <w:numPr>
          <w:ilvl w:val="0"/>
          <w:numId w:val="1001"/>
        </w:numPr>
        <w:pStyle w:val="Compact"/>
      </w:pPr>
      <w:r>
        <w:rPr>
          <w:bCs/>
          <w:b/>
        </w:rPr>
        <w:t xml:space="preserve">Civil Law Heritage:</w:t>
      </w:r>
      <w:r>
        <w:t xml:space="preserve"> </w:t>
      </w:r>
      <w:r>
        <w:t xml:space="preserve">The foundational laws are rooted in civil law traditions, requiring lawyers to possess deep theoretical knowledge of statutory codes.</w:t>
      </w:r>
    </w:p>
    <w:p>
      <w:pPr>
        <w:numPr>
          <w:ilvl w:val="0"/>
          <w:numId w:val="1001"/>
        </w:numPr>
        <w:pStyle w:val="Compact"/>
      </w:pPr>
      <w:r>
        <w:rPr>
          <w:bCs/>
          <w:b/>
        </w:rPr>
        <w:t xml:space="preserve">Rise of Free Zones:</w:t>
      </w:r>
      <w:r>
        <w:t xml:space="preserve"> </w:t>
      </w:r>
      <w:r>
        <w:t xml:space="preserve">Jurisdictions such as the Dubai International Financial Centre (DIFC) and the Dubai Multi Commodities Centre (DMCC) operate under common law frameworks, creating a dual system that requires lawyers to be bilingual in legal concepts—understanding both civil codes and common law precedents.</w:t>
      </w:r>
    </w:p>
    <w:p>
      <w:pPr>
        <w:numPr>
          <w:ilvl w:val="0"/>
          <w:numId w:val="1001"/>
        </w:numPr>
        <w:pStyle w:val="Compact"/>
      </w:pPr>
      <w:r>
        <w:rPr>
          <w:bCs/>
          <w:b/>
        </w:rPr>
        <w:t xml:space="preserve">Internationalization:</w:t>
      </w:r>
      <w:r>
        <w:t xml:space="preserve"> </w:t>
      </w:r>
      <w:r>
        <w:t xml:space="preserve">Dubai’s status as a global trade hub necessitates lawyers who can navigate complex international arbitration and cross-border transactions.</w:t>
      </w:r>
    </w:p>
    <w:bookmarkEnd w:id="22"/>
    <w:bookmarkStart w:id="23" w:name="X606b9e21f8832d225581c675fecd2431c0d9f33"/>
    <w:p>
      <w:pPr>
        <w:pStyle w:val="Heading2"/>
      </w:pPr>
      <w:r>
        <w:t xml:space="preserve">2. Regulatory Reforms: Decree-Law No. 42 of 2022</w:t>
      </w:r>
    </w:p>
    <w:p>
      <w:pPr>
        <w:pStyle w:val="FirstParagraph"/>
      </w:pPr>
      <w:r>
        <w:t xml:space="preserve">A pivotal moment for the legal profession in the United Arab Emirates Dubai was the implementation of Federal Decree-Law No. 42 of 18 May 08, on Legal Profession (the "Legal Profession Law"). This legislation replaced older regulations and introduced significant changes:</w:t>
      </w:r>
    </w:p>
    <w:p>
      <w:pPr>
        <w:numPr>
          <w:ilvl w:val="0"/>
          <w:numId w:val="1002"/>
        </w:numPr>
        <w:pStyle w:val="Compact"/>
      </w:pPr>
      <w:r>
        <w:rPr>
          <w:bCs/>
          <w:b/>
        </w:rPr>
        <w:t xml:space="preserve">Independent Regulation:</w:t>
      </w:r>
      <w:r>
        <w:t xml:space="preserve"> </w:t>
      </w:r>
      <w:r>
        <w:t xml:space="preserve">The creation of the Legal Professionals Committee under the Ministry of Justice ensures stricter professional standards and ethical oversight.</w:t>
      </w:r>
    </w:p>
    <w:p>
      <w:pPr>
        <w:numPr>
          <w:ilvl w:val="0"/>
          <w:numId w:val="1002"/>
        </w:numPr>
        <w:pStyle w:val="Compact"/>
      </w:pPr>
      <w:r>
        <w:rPr>
          <w:bCs/>
          <w:b/>
        </w:rPr>
        <w:t xml:space="preserve">Certification Requirements:</w:t>
      </w:r>
      <w:r>
        <w:t xml:space="preserve"> </w:t>
      </w:r>
      <w:r>
        <w:t xml:space="preserve">Lawyers must now undergo rigorous certification processes, ensuring that only qualified professionals practice within the country. This enhances public trust in legal services.</w:t>
      </w:r>
    </w:p>
    <w:p>
      <w:pPr>
        <w:numPr>
          <w:ilvl w:val="0"/>
          <w:numId w:val="1002"/>
        </w:numPr>
        <w:pStyle w:val="Compact"/>
      </w:pPr>
      <w:r>
        <w:rPr>
          <w:bCs/>
          <w:b/>
        </w:rPr>
        <w:t xml:space="preserve">Limited Liability Companies:</w:t>
      </w:r>
      <w:r>
        <w:t xml:space="preserve"> </w:t>
      </w:r>
      <w:r>
        <w:t xml:space="preserve">The reform allows for the establishment of Law Firms as Limited Liability Companies (LLCs) and Joint Stock Companies, facilitating foreign ownership and investment in legal practices. This breaks previous monopolies and encourages innovation.</w:t>
      </w:r>
    </w:p>
    <w:bookmarkEnd w:id="23"/>
    <w:bookmarkStart w:id="24" w:name="key-practice-areas-in-modern-dubai"/>
    <w:p>
      <w:pPr>
        <w:pStyle w:val="Heading2"/>
      </w:pPr>
      <w:r>
        <w:t xml:space="preserve">3. Key Practice Areas in Modern Dubai</w:t>
      </w:r>
    </w:p>
    <w:p>
      <w:pPr>
        <w:pStyle w:val="FirstParagraph"/>
      </w:pPr>
      <w:r>
        <w:t xml:space="preserve">The modern lawyer in United Arab Emirates Dubai must specialize to remain competitive. The demand for expertise has shifted towards areas that drive the local economy:</w:t>
      </w:r>
    </w:p>
    <w:p>
      <w:pPr>
        <w:numPr>
          <w:ilvl w:val="0"/>
          <w:numId w:val="1003"/>
        </w:numPr>
        <w:pStyle w:val="Compact"/>
      </w:pPr>
      <w:r>
        <w:rPr>
          <w:bCs/>
          <w:b/>
        </w:rPr>
        <w:t xml:space="preserve">Fintech and Crypto-Assets:</w:t>
      </w:r>
      <w:r>
        <w:t xml:space="preserve"> </w:t>
      </w:r>
      <w:r>
        <w:t xml:space="preserve">With Dubai emerging as a blockchain hub, lawyers are increasingly involved in regulating digital assets, initial coin offerings (ICOs), and smart contracts.</w:t>
      </w:r>
    </w:p>
    <w:p>
      <w:pPr>
        <w:numPr>
          <w:ilvl w:val="0"/>
          <w:numId w:val="1003"/>
        </w:numPr>
        <w:pStyle w:val="Compact"/>
      </w:pPr>
      <w:r>
        <w:rPr>
          <w:bCs/>
          <w:b/>
        </w:rPr>
        <w:t xml:space="preserve">Data Protection:</w:t>
      </w:r>
      <w:r>
        <w:t xml:space="preserve"> </w:t>
      </w:r>
      <w:r>
        <w:t xml:space="preserve">The UAE’s new Federal Decree-Law No. 45 of 2021 on Personal Data Protection requires lawyers to advise corporations on compliance, mirroring GDPR standards but with local nuances.</w:t>
      </w:r>
    </w:p>
    <w:p>
      <w:pPr>
        <w:numPr>
          <w:ilvl w:val="0"/>
          <w:numId w:val="1003"/>
        </w:numPr>
        <w:pStyle w:val="Compact"/>
      </w:pPr>
      <w:r>
        <w:rPr>
          <w:bCs/>
          <w:b/>
        </w:rPr>
        <w:t xml:space="preserve">Sustainability and ESG:</w:t>
      </w:r>
      <w:r>
        <w:t xml:space="preserve"> </w:t>
      </w:r>
      <w:r>
        <w:t xml:space="preserve">As part of the UAE Net Zero by 2050 initiative, legal advisors are crucial in structuring green finance deals and ensuring corporate adherence to environmental regulations.</w:t>
      </w:r>
    </w:p>
    <w:bookmarkEnd w:id="24"/>
    <w:bookmarkStart w:id="25" w:name="challenges-and-future-outlook"/>
    <w:p>
      <w:pPr>
        <w:pStyle w:val="Heading2"/>
      </w:pPr>
      <w:r>
        <w:t xml:space="preserve">4. Challenges and Future Outlook</w:t>
      </w:r>
    </w:p>
    <w:p>
      <w:pPr>
        <w:pStyle w:val="FirstParagraph"/>
      </w:pPr>
      <w:r>
        <w:t xml:space="preserve">Navigating the legal landscape in Dubai presents unique challenges for practitioners:</w:t>
      </w:r>
    </w:p>
    <w:p>
      <w:pPr>
        <w:numPr>
          <w:ilvl w:val="0"/>
          <w:numId w:val="1004"/>
        </w:numPr>
        <w:pStyle w:val="Compact"/>
      </w:pPr>
      <w:r>
        <w:rPr>
          <w:bCs/>
          <w:b/>
        </w:rPr>
        <w:t xml:space="preserve">Cultural Competency:</w:t>
      </w:r>
      <w:r>
        <w:t xml:space="preserve"> </w:t>
      </w:r>
      <w:r>
        <w:t xml:space="preserve">Lawyers must bridge cultural gaps between Western corporate clients and local Emirati traditions, requiring high emotional intelligence and cultural awareness.</w:t>
      </w:r>
    </w:p>
    <w:p>
      <w:pPr>
        <w:numPr>
          <w:ilvl w:val="0"/>
          <w:numId w:val="1004"/>
        </w:numPr>
        <w:pStyle w:val="Compact"/>
      </w:pPr>
      <w:r>
        <w:rPr>
          <w:bCs/>
          <w:b/>
        </w:rPr>
        <w:t xml:space="preserve">Language Requirements:</w:t>
      </w:r>
      <w:r>
        <w:t xml:space="preserve"> </w:t>
      </w:r>
      <w:r>
        <w:t xml:space="preserve">While English is widely used in business courts (like DIFC), Arabic remains the official language of the federal courts. Proficiency in both languages is increasingly becoming a mandatory skill for career advancement.</w:t>
      </w:r>
    </w:p>
    <w:p>
      <w:pPr>
        <w:numPr>
          <w:ilvl w:val="0"/>
          <w:numId w:val="1004"/>
        </w:numPr>
        <w:pStyle w:val="Compact"/>
      </w:pPr>
      <w:r>
        <w:rPr>
          <w:bCs/>
          <w:b/>
        </w:rPr>
        <w:t xml:space="preserve">Rapid Legislative Change:</w:t>
      </w:r>
      <w:r>
        <w:t xml:space="preserve"> </w:t>
      </w:r>
      <w:r>
        <w:t xml:space="preserve">The pace of reform in the United Arab Emirates Dubai is unprecedented. Lawyers must engage in continuous professional development to stay ahead of legislative updates.</w:t>
      </w:r>
    </w:p>
    <w:p>
      <w:pPr>
        <w:pStyle w:val="FirstParagraph"/>
      </w:pPr>
      <w:r>
        <w:rPr>
          <w:bCs/>
          <w:b/>
          <w:iCs/>
          <w:i/>
        </w:rPr>
        <w:t xml:space="preserve">Insight:</w:t>
      </w:r>
      <w:r>
        <w:t xml:space="preserve"> </w:t>
      </w:r>
      <w:r>
        <w:t xml:space="preserve">The future lawyer in the UAE will be a hybrid professional—part legal expert, part technological innovator, and part strategic business advisor. The ability to leverage LegalTech for contract analysis and case management will distinguish top-tier practitioners.</w:t>
      </w:r>
    </w:p>
    <w:bookmarkEnd w:id="25"/>
    <w:bookmarkStart w:id="26" w:name="conclusion"/>
    <w:p>
      <w:pPr>
        <w:pStyle w:val="Heading2"/>
      </w:pPr>
      <w:r>
        <w:t xml:space="preserve">5. Conclusion</w:t>
      </w:r>
    </w:p>
    <w:p>
      <w:pPr>
        <w:pStyle w:val="FirstParagraph"/>
      </w:pPr>
      <w:r>
        <w:t xml:space="preserve">The role of the lawyer in United Arab Emirates Dubai is expanding beyond traditional litigation and advisory roles. Through comprehensive legal reforms and the strategic development of specialized free zones, Dubai has positioned itself as a competitive global legal market. Lawyers today are expected to be agile, tech-savvy, and culturally adept professionals who can navigate both civil law statutes and common law precedents. As the United Arab Emirates continues to diversify its economy beyond oil, the demand for sophisticated legal counsel will only grow. Therefore, investing in high-quality legal education and professional development is essential for lawyers aiming to thrive in this vibrant jurisdiction.</w:t>
      </w:r>
    </w:p>
    <w:bookmarkEnd w:id="26"/>
    <w:p>
      <w:pPr>
        <w:pStyle w:val="BodyText"/>
      </w:pPr>
      <w:r>
        <w:t xml:space="preserve">© 2023 Academic Poster Presentation. All Rights Reserved. Focus: Legal Studies in the Middle East.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Arab Emirates Dubai: A Poster Presentation</dc:title>
  <dc:creator/>
  <dc:language>en</dc:language>
  <cp:keywords/>
  <dcterms:created xsi:type="dcterms:W3CDTF">2026-07-30T12:27:22Z</dcterms:created>
  <dcterms:modified xsi:type="dcterms:W3CDTF">2026-07-30T12:27:22Z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