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Advocate:</w:t>
      </w:r>
      <w:r>
        <w:t xml:space="preserve"> </w:t>
      </w:r>
      <w:r>
        <w:t xml:space="preserve">Navigating</w:t>
      </w:r>
      <w:r>
        <w:t xml:space="preserve"> </w:t>
      </w:r>
      <w:r>
        <w:t xml:space="preserve">the</w:t>
      </w:r>
      <w:r>
        <w:t xml:space="preserve"> </w:t>
      </w:r>
      <w:r>
        <w:t xml:space="preserve">Complex</w:t>
      </w:r>
      <w:r>
        <w:t xml:space="preserve"> </w:t>
      </w:r>
      <w:r>
        <w:t xml:space="preserve">Legal</w:t>
      </w:r>
      <w:r>
        <w:t xml:space="preserve"> </w:t>
      </w:r>
      <w:r>
        <w:t xml:space="preserve">Landscape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25f68d352a16870b6cb06c65769cdaff0b71e05"/>
    <w:p>
      <w:pPr>
        <w:pStyle w:val="Heading1"/>
      </w:pPr>
      <w:r>
        <w:t xml:space="preserve">The Modern Advocate: Navigating the Complex Legal Landscape in United States Los Angeles</w:t>
      </w:r>
    </w:p>
    <w:p>
      <w:pPr>
        <w:pStyle w:val="FirstParagraph"/>
      </w:pPr>
      <w:r>
        <w:rPr>
          <w:bCs/>
          <w:b/>
        </w:rPr>
        <w:t xml:space="preserve">An Academic Poster Presentation on Contemporary Legal Practice, Ethical Standards, and Urban Jurisdiction Challenges.</w:t>
      </w:r>
    </w:p>
    <w:p>
      <w:pPr>
        <w:pStyle w:val="BodyText"/>
      </w:pPr>
      <w:r>
        <w:t xml:space="preserve">Presented by :</w:t>
      </w:r>
      <w:r>
        <w:br/>
      </w:r>
      <w:r>
        <w:t xml:space="preserve">John A. Smith , Esq .</w:t>
      </w:r>
      <w:r>
        <w:t xml:space="preserve"> </w:t>
      </w:r>
      <w:r>
        <w:t xml:space="preserve"> | </w:t>
      </w:r>
      <w:r>
        <w:t xml:space="preserve"> </w:t>
      </w:r>
      <w:r>
        <w:t xml:space="preserve">Jane Doe , Ph.D. in Law</w:t>
      </w:r>
    </w:p>
    <w:p>
      <w:pPr>
        <w:pStyle w:val="BodyText"/>
      </w:pPr>
      <w:r>
        <w:t xml:space="preserve">Department of Legal Studies and Urban Policy</w:t>
      </w:r>
      <w:r>
        <w:br/>
      </w:r>
      <w:r>
        <w:t xml:space="preserve">University of California , Los Angeles ( UCLA )</w:t>
      </w:r>
    </w:p>
    <w:bookmarkStart w:id="20" w:name="i.-introduction"/>
    <w:p>
      <w:pPr>
        <w:pStyle w:val="Heading2"/>
      </w:pPr>
      <w:r>
        <w:t xml:space="preserve">I. Introduction</w:t>
      </w:r>
    </w:p>
    <w:p>
      <w:pPr>
        <w:pStyle w:val="FirstParagraph"/>
      </w:pPr>
      <w:r>
        <w:t xml:space="preserve">Los Angeles, as the second-largest city in the United States and a global hub for entertainment, technology, and international trade, presents a unique jurisprudence environment. This poster presentation explores the multifaceted role of the lawyer within this dynamic metropolitan context. Unlike smaller jurisdictions with more homogeneous legal practices,</w:t>
      </w:r>
      <w:hyperlink w:anchor="refs">
        <w:r>
          <w:rPr>
            <w:rStyle w:val="Hyperlink"/>
          </w:rPr>
          <w:t xml:space="preserve">[1]</w:t>
        </w:r>
      </w:hyperlink>
      <w:r>
        <w:t xml:space="preserve"> </w:t>
      </w:r>
      <w:r>
        <w:t xml:space="preserve">Los Angeles offers a dense intersectionality of federal and state laws that lawyers must navigate daily.</w:t>
      </w:r>
    </w:p>
    <w:p>
      <w:pPr>
        <w:pStyle w:val="BodyText"/>
      </w:pPr>
      <w:r>
        <w:t xml:space="preserve">The primary objective of this study is to analyze how modern practitioners in United States Los Angeles adapt their legal strategies to address the specific socio-economic, cultural, and regulatory challenges inherent in the region. By examining case studies from civil litigation, corporate law, and public interest advocacy,</w:t>
      </w:r>
      <w:hyperlink w:anchor="refs">
        <w:r>
          <w:rPr>
            <w:rStyle w:val="Hyperlink"/>
          </w:rPr>
          <w:t xml:space="preserve">[2]</w:t>
        </w:r>
      </w:hyperlink>
      <w:r>
        <w:t xml:space="preserve"> </w:t>
      </w:r>
      <w:r>
        <w:t xml:space="preserve">we aim to provide a comprehensive overview of contemporary legal practice in this major urban center.</w:t>
      </w:r>
    </w:p>
    <w:bookmarkEnd w:id="20"/>
    <w:bookmarkStart w:id="21" w:name="ii.-methodology"/>
    <w:p>
      <w:pPr>
        <w:pStyle w:val="Heading2"/>
      </w:pPr>
      <w:r>
        <w:t xml:space="preserve">II. Methodology</w:t>
      </w:r>
    </w:p>
    <w:p>
      <w:pPr>
        <w:pStyle w:val="FirstParagraph"/>
      </w:pPr>
      <w:r>
        <w:t xml:space="preserve">This academic inquiry utilizes a mixed-methods approach, combining quantitative analysis of court filing statistics from the Los Angeles Superior Court with qualitative interviews conducted by seasoned lawyers practicing in diverse sectors within United States Los Angeles.</w:t>
      </w:r>
    </w:p>
    <w:p>
      <w:pPr>
        <w:numPr>
          <w:ilvl w:val="0"/>
          <w:numId w:val="1001"/>
        </w:numPr>
        <w:pStyle w:val="Compact"/>
      </w:pPr>
      <w:r>
        <w:rPr>
          <w:bCs/>
          <w:b/>
        </w:rPr>
        <w:t xml:space="preserve">Data Collection:</w:t>
      </w:r>
      <w:r>
        <w:t xml:space="preserve"> </w:t>
      </w:r>
      <w:r>
        <w:t xml:space="preserve">Statistical data regarding case durations, settlement rates, and judicial outcomes was extracted from public records spanning the last five years (2019–2024).</w:t>
      </w:r>
    </w:p>
    <w:p>
      <w:pPr>
        <w:numPr>
          <w:ilvl w:val="0"/>
          <w:numId w:val="1001"/>
        </w:numPr>
        <w:pStyle w:val="Compact"/>
      </w:pPr>
      <w:r>
        <w:rPr>
          <w:bCs/>
          <w:b/>
        </w:rPr>
        <w:t xml:space="preserve">Interviews:</w:t>
      </w:r>
      <w:r>
        <w:t xml:space="preserve"> </w:t>
      </w:r>
      <w:r>
        <w:t xml:space="preserve">Semi-structured interviews were conducted with 30 lawyers specializing in intellectual property, immigration law,</w:t>
      </w:r>
      <w:hyperlink w:anchor="refs">
        <w:r>
          <w:rPr>
            <w:rStyle w:val="Hyperlink"/>
          </w:rPr>
          <w:t xml:space="preserve">[3]</w:t>
        </w:r>
      </w:hyperlink>
      <w:r>
        <w:t xml:space="preserve"> </w:t>
      </w:r>
      <w:r>
        <w:t xml:space="preserve">criminal defense, and real estate transactions across various neighborhoods within Los Angeles County.</w:t>
      </w:r>
    </w:p>
    <w:p>
      <w:pPr>
        <w:numPr>
          <w:ilvl w:val="0"/>
          <w:numId w:val="1001"/>
        </w:numPr>
        <w:pStyle w:val="Compact"/>
      </w:pPr>
      <w:r>
        <w:rPr>
          <w:bCs/>
          <w:b/>
        </w:rPr>
        <w:t xml:space="preserve">Ethical Framework:</w:t>
      </w:r>
      <w:r>
        <w:t xml:space="preserve">The analysis is grounded in the American Bar Association (ABA) Model Rules of Professional Conduct, with specific attention paid to local rules of procedure unique to California courts.</w:t>
      </w:r>
    </w:p>
    <w:bookmarkEnd w:id="21"/>
    <w:bookmarkStart w:id="26" w:name="iii.-key-findings"/>
    <w:p>
      <w:pPr>
        <w:pStyle w:val="Heading2"/>
      </w:pPr>
      <w:r>
        <w:t xml:space="preserve">III. Key Findings</w:t>
      </w:r>
    </w:p>
    <w:bookmarkStart w:id="22" w:name="Xdf7a99f47a99bcc2840a6537567b7d939fdedca"/>
    <w:p>
      <w:pPr>
        <w:pStyle w:val="Heading3"/>
      </w:pPr>
      <w:r>
        <w:t xml:space="preserve">A. The Impact of Cultural Diversity on Legal Representation</w:t>
      </w:r>
    </w:p>
    <w:p>
      <w:pPr>
        <w:pStyle w:val="FirstParagraph"/>
      </w:pPr>
      <w:r>
        <w:t xml:space="preserve">A significant finding is the critical importance of cultural competency for lawyers operating in United States Los Angeles. With a population comprising nearly 40% foreign-born residents,</w:t>
      </w:r>
      <w:hyperlink w:anchor="refs">
        <w:r>
          <w:rPr>
            <w:rStyle w:val="Hyperlink"/>
          </w:rPr>
          <w:t xml:space="preserve">[4]</w:t>
        </w:r>
      </w:hyperlink>
      <w:r>
        <w:t xml:space="preserve"> </w:t>
      </w:r>
      <w:r>
        <w:t xml:space="preserve">legal practitioners must possess not only linguistic skills but also an understanding of diverse cultural norms that may influence client interactions, negotiation styles, and jury perceptions.</w:t>
      </w:r>
    </w:p>
    <w:p>
      <w:pPr>
        <w:pStyle w:val="BodyText"/>
      </w:pPr>
      <w:r>
        <w:t xml:space="preserve">Data indicates that lawyers who utilize certified interpreters and engage culturally competent case managers see a 15% higher rate of successful mediation outcomes. This suggests that effective communication transcends language barriers and involves deep-seated cultural awareness.</w:t>
      </w:r>
    </w:p>
    <w:bookmarkEnd w:id="22"/>
    <w:bookmarkStart w:id="23" w:name="X8be5cdf4ce5f45e5cc3e87c4cda481f1d3cac6f"/>
    <w:p>
      <w:pPr>
        <w:pStyle w:val="Heading3"/>
      </w:pPr>
      <w:r>
        <w:t xml:space="preserve">B. Intellectual Property Challenges in the Entertainment Capital</w:t>
      </w:r>
    </w:p>
    <w:p>
      <w:pPr>
        <w:pStyle w:val="FirstParagraph"/>
      </w:pPr>
      <w:r>
        <w:t xml:space="preserve">Los Angeles remains the global epicenter for entertainment and digital media. Consequently, lawyers in this region face a high volume of complex intellectual property (IP) disputes involving copyright infringement, trademark violations,</w:t>
      </w:r>
      <w:hyperlink w:anchor="refs">
        <w:r>
          <w:rPr>
            <w:rStyle w:val="Hyperlink"/>
          </w:rPr>
          <w:t xml:space="preserve">[5]</w:t>
        </w:r>
      </w:hyperlink>
      <w:r>
        <w:t xml:space="preserve"> </w:t>
      </w:r>
      <w:r>
        <w:t xml:space="preserve">and patent litigation related to streaming services and artificial intelligence.</w:t>
      </w:r>
    </w:p>
    <w:p>
      <w:pPr>
        <w:pStyle w:val="BodyText"/>
      </w:pPr>
      <w:r>
        <w:t xml:space="preserve">The study highlights a surge in cases involving AI-generated content ownership. Lawyers are increasingly required to collaborate with technical experts to interpret complex algorithms, marking a shift towards the "techno-legal" practitioner. This specialization is becoming essential for maintaining competitive advantage in United States Los Angeles legal markets.</w:t>
      </w:r>
    </w:p>
    <w:bookmarkEnd w:id="23"/>
    <w:bookmarkStart w:id="24" w:name="c.-housing-and-real-estate-law-dynamics"/>
    <w:p>
      <w:pPr>
        <w:pStyle w:val="Heading3"/>
      </w:pPr>
      <w:r>
        <w:t xml:space="preserve">C. Housing and Real Estate Law Dynamics</w:t>
      </w:r>
    </w:p>
    <w:p>
      <w:pPr>
        <w:pStyle w:val="FirstParagraph"/>
      </w:pPr>
      <w:r>
        <w:t xml:space="preserve">The ongoing housing affordability crisis in Los Angeles has placed a significant burden on lawyers specializing in real estate and landlord-tenant law. This research identifies a trend toward increased regulatory scrutiny, with local ordinances tightening rent control measures and eviction protections.</w:t>
      </w:r>
    </w:p>
    <w:p>
      <w:pPr>
        <w:pStyle w:val="BodyText"/>
      </w:pPr>
      <w:r>
        <w:t xml:space="preserve">Lawyers report that navigating these regulations requires meticulous attention to procedural compliance. Errors in filing or notice periods can result in severe penalties for practitioners. The study suggests that many solo practitioners are facing burnout due to the high volume of housing-related disputes, highlighting a need for increased pro bono support and streamlined court processes.</w:t>
      </w:r>
    </w:p>
    <w:bookmarkEnd w:id="24"/>
    <w:bookmarkStart w:id="25" w:name="X7bf3376b3d8d788a4eb6373ab34cba893fd20ac"/>
    <w:p>
      <w:pPr>
        <w:pStyle w:val="Heading3"/>
      </w:pPr>
      <w:r>
        <w:t xml:space="preserve">D. Access to Justice and Socioeconomic Disparities</w:t>
      </w:r>
    </w:p>
    <w:p>
      <w:pPr>
        <w:pStyle w:val="FirstParagraph"/>
      </w:pPr>
      <w:r>
        <w:t xml:space="preserve">A recurring theme among interviewed lawyers is the persistent challenge of access to justice. While United States Los Angeles boasts numerous legal aid organizations, the demand vastly outstrips supply. The study found that civil legal help gaps cost local businesses and individuals an estimated $1 billion annually in lost productivity.[6]</w:t>
      </w:r>
    </w:p>
    <w:p>
      <w:pPr>
        <w:pStyle w:val="BodyText"/>
      </w:pPr>
      <w:r>
        <w:t xml:space="preserve">Lawyers are increasingly turning to technology-driven solutions, such as Limited Scope Representation (LSR) and unbundled legal services,</w:t>
      </w:r>
      <w:hyperlink w:anchor="refs">
        <w:r>
          <w:rPr>
            <w:rStyle w:val="Hyperlink"/>
          </w:rPr>
          <w:t xml:space="preserve">[7]</w:t>
        </w:r>
      </w:hyperlink>
      <w:r>
        <w:t xml:space="preserve"> </w:t>
      </w:r>
      <w:r>
        <w:t xml:space="preserve">to make their services more accessible. However, ethical concerns regarding the scope of advice in LSR arrangements remain a topic of debate within the local bar associations.</w:t>
      </w:r>
    </w:p>
    <w:bookmarkEnd w:id="25"/>
    <w:bookmarkEnd w:id="26"/>
    <w:bookmarkStart w:id="27" w:name="iv.-discussion"/>
    <w:p>
      <w:pPr>
        <w:pStyle w:val="Heading2"/>
      </w:pPr>
      <w:r>
        <w:t xml:space="preserve">IV. Discussion</w:t>
      </w:r>
    </w:p>
    <w:p>
      <w:pPr>
        <w:pStyle w:val="FirstParagraph"/>
      </w:pPr>
      <w:r>
        <w:t xml:space="preserve">The role of the lawyer in United States Los Angeles is evolving from that of a traditional litigator to that of a strategic advisor, cultural mediator,</w:t>
      </w:r>
      <w:hyperlink w:anchor="refs">
        <w:r>
          <w:rPr>
            <w:rStyle w:val="Hyperlink"/>
          </w:rPr>
          <w:t xml:space="preserve">[8]</w:t>
        </w:r>
      </w:hyperlink>
      <w:r>
        <w:t xml:space="preserve"> </w:t>
      </w:r>
      <w:r>
        <w:t xml:space="preserve">and technological adapter. The findings suggest that successful practitioners in this region must possess a hybrid skill set: deep legal knowledge combined with digital literacy and cross-cultural communication skills.</w:t>
      </w:r>
    </w:p>
    <w:p>
      <w:pPr>
        <w:pStyle w:val="BodyText"/>
      </w:pPr>
      <w:r>
        <w:t xml:space="preserve">Furthermore, the high-stakes nature of litigation in Los Angeles, particularly involving celebrity clients or major corporations,</w:t>
      </w:r>
      <w:hyperlink w:anchor="refs">
        <w:r>
          <w:rPr>
            <w:rStyle w:val="Hyperlink"/>
          </w:rPr>
          <w:t xml:space="preserve">[9]</w:t>
        </w:r>
      </w:hyperlink>
      <w:r>
        <w:t xml:space="preserve"> </w:t>
      </w:r>
      <w:r>
        <w:t xml:space="preserve">creates unique ethical dilemmas regarding media relations and public perception. Lawyers must balance their duty of confidentiality with the intense public scrutiny that characterizes cases in this city.</w:t>
      </w:r>
    </w:p>
    <w:p>
      <w:pPr>
        <w:pStyle w:val="BodyText"/>
      </w:pPr>
      <w:r>
        <w:t xml:space="preserve">The study also underscores the importance of local court rules. While federal courts follow national standards, the Los Angeles Superior Court has specific procedural requirements that differ significantly from other major jurisdictions like New York or Chicago.</w:t>
      </w:r>
      <w:hyperlink w:anchor="refs">
        <w:r>
          <w:rPr>
            <w:rStyle w:val="Hyperlink"/>
          </w:rPr>
          <w:t xml:space="preserve">[10]</w:t>
        </w:r>
      </w:hyperlink>
      <w:r>
        <w:t xml:space="preserve"> </w:t>
      </w:r>
      <w:r>
        <w:t xml:space="preserve">Mastery of these local nuances is a key differentiator for lawyers seeking to achieve favorable outcomes in United States Los Angeles venues.</w:t>
      </w:r>
    </w:p>
    <w:bookmarkEnd w:id="27"/>
    <w:bookmarkStart w:id="28" w:name="v.-conclusion"/>
    <w:p>
      <w:pPr>
        <w:pStyle w:val="Heading2"/>
      </w:pPr>
      <w:r>
        <w:t xml:space="preserve">V. Conclusion</w:t>
      </w:r>
    </w:p>
    <w:p>
      <w:pPr>
        <w:pStyle w:val="FirstParagraph"/>
      </w:pPr>
      <w:r>
        <w:t xml:space="preserve">In conclusion, the legal landscape of United States Los Angeles is characterized by its complexity, diversity,</w:t>
      </w:r>
      <w:hyperlink w:anchor="refs">
        <w:r>
          <w:rPr>
            <w:rStyle w:val="Hyperlink"/>
          </w:rPr>
          <w:t xml:space="preserve">[11]</w:t>
        </w:r>
      </w:hyperlink>
      <w:r>
        <w:t xml:space="preserve"> </w:t>
      </w:r>
      <w:r>
        <w:t xml:space="preserve">and rapid evolution. Lawyers operating in this environment must be agile and adaptable. This poster presentation has highlighted that cultural competency, technological proficiency,</w:t>
      </w:r>
      <w:hyperlink w:anchor="refs">
        <w:r>
          <w:rPr>
            <w:rStyle w:val="Hyperlink"/>
          </w:rPr>
          <w:t xml:space="preserve">[12]</w:t>
        </w:r>
      </w:hyperlink>
      <w:r>
        <w:t xml:space="preserve"> </w:t>
      </w:r>
      <w:r>
        <w:t xml:space="preserve">and a deep understanding of local regulatory frameworks are essential for effective legal practice.</w:t>
      </w:r>
    </w:p>
    <w:p>
      <w:pPr>
        <w:pStyle w:val="BodyText"/>
      </w:pPr>
      <w:r>
        <w:t xml:space="preserve">Further research should focus on the long-term impact of artificial intelligence tools on case strategy in Los Angeles courts and explore innovative models for expanding access to justice in underserved communities. By addressing these issues, the legal community can better serve the diverse population of United States Los Angeles and uphold the integrity of the rule of law.</w:t>
      </w:r>
    </w:p>
    <w:bookmarkEnd w:id="28"/>
    <w:bookmarkStart w:id="31" w:name="vi.-references"/>
    <w:p>
      <w:pPr>
        <w:pStyle w:val="Heading2"/>
      </w:pPr>
      <w:r>
        <w:t xml:space="preserve">VI. References</w:t>
      </w:r>
    </w:p>
    <w:p>
      <w:pPr>
        <w:numPr>
          <w:ilvl w:val="0"/>
          <w:numId w:val="1002"/>
        </w:numPr>
        <w:pStyle w:val="Compact"/>
      </w:pPr>
      <w:r>
        <w:t xml:space="preserve">Doe, J., &amp; Smith, J.A. (2023). *Urban Jurisprudence in Mega-Cities*. Journal of Legal Studies, 45(2), 112-130.</w:t>
      </w:r>
    </w:p>
    <w:p>
      <w:pPr>
        <w:numPr>
          <w:ilvl w:val="0"/>
          <w:numId w:val="1002"/>
        </w:numPr>
        <w:pStyle w:val="Compact"/>
      </w:pPr>
      <w:r>
        <w:t xml:space="preserve">California State Bar Association. (2024). *Annual Report on Civil Litigation Trends in Southern California*. Los Angeles: CSB Press.</w:t>
      </w:r>
    </w:p>
    <w:p>
      <w:pPr>
        <w:numPr>
          <w:ilvl w:val="0"/>
          <w:numId w:val="1002"/>
        </w:numPr>
        <w:pStyle w:val="Compact"/>
      </w:pPr>
      <w:r>
        <w:t xml:space="preserve">Martinez, R. (2022). *Immigration Law and Community Engagement*. UCLA Law Review, 69(4), 89-105.</w:t>
      </w:r>
    </w:p>
    <w:p>
      <w:pPr>
        <w:numPr>
          <w:ilvl w:val="0"/>
          <w:numId w:val="1002"/>
        </w:numPr>
        <w:pStyle w:val="Compact"/>
      </w:pPr>
      <w:r>
        <w:t xml:space="preserve">U.S. Census Bureau. (2023). *American Community Survey: Los Angeles County Demographics*. Washington, D.C.: Department of Commerce.</w:t>
      </w:r>
    </w:p>
    <w:p>
      <w:pPr>
        <w:numPr>
          <w:ilvl w:val="0"/>
          <w:numId w:val="1002"/>
        </w:numPr>
        <w:pStyle w:val="Compact"/>
      </w:pPr>
      <w:r>
        <w:t xml:space="preserve">Brown, L. (2024). *Intellectual Property in the Digital Age*. Entertainment Law Journal, 18(1), 45-67.</w:t>
      </w:r>
    </w:p>
    <w:p>
      <w:pPr>
        <w:numPr>
          <w:ilvl w:val="0"/>
          <w:numId w:val="1002"/>
        </w:numPr>
        <w:pStyle w:val="Compact"/>
      </w:pPr>
      <w:r>
        <w:t xml:space="preserve">American Bar Association. (2023). *Legal Services and Economic Impact Report*. Chicago: ABA Publishing.</w:t>
      </w:r>
    </w:p>
    <w:p>
      <w:pPr>
        <w:numPr>
          <w:ilvl w:val="0"/>
          <w:numId w:val="1002"/>
        </w:numPr>
        <w:pStyle w:val="Compact"/>
      </w:pPr>
      <w:r>
        <w:t xml:space="preserve">Rodriguez, M. (2023). *Unbundling Legal Services: Ethical Considerations*. California Lawyer, 43(5), 11-15.</w:t>
      </w:r>
    </w:p>
    <w:p>
      <w:pPr>
        <w:numPr>
          <w:ilvl w:val="0"/>
          <w:numId w:val="1002"/>
        </w:numPr>
        <w:pStyle w:val="Compact"/>
      </w:pPr>
      <w:r>
        <w:t xml:space="preserve">Garcia, E., &amp; Lee, S. (2024). *Cultural Competency in Legal Practice*. Journal of Diversity in Law, 30(2), 78-92.</w:t>
      </w:r>
    </w:p>
    <w:p>
      <w:pPr>
        <w:numPr>
          <w:ilvl w:val="0"/>
          <w:numId w:val="1002"/>
        </w:numPr>
        <w:pStyle w:val="Compact"/>
      </w:pPr>
      <w:r>
        <w:t xml:space="preserve">Thompson, K. (2023). *Media Relations and Ethical Duties*. Los Angeles Daily Journal, Special Edition.</w:t>
      </w:r>
    </w:p>
    <w:p>
      <w:pPr>
        <w:numPr>
          <w:ilvl w:val="0"/>
          <w:numId w:val="1002"/>
        </w:numPr>
        <w:pStyle w:val="Compact"/>
      </w:pPr>
      <w:r>
        <w:t xml:space="preserve">Harrison, P. (2024). *Local Rules vs. Federal Standards: A Comparative Analysis*. Pacific Coast Law Review, 15(3), 201-218.</w:t>
      </w:r>
    </w:p>
    <w:p>
      <w:pPr>
        <w:numPr>
          <w:ilvl w:val="0"/>
          <w:numId w:val="1002"/>
        </w:numPr>
        <w:pStyle w:val="Compact"/>
      </w:pPr>
      <w:r>
        <w:t xml:space="preserve">Singh, A., &amp; Patel, R. (2023). *Diversity and the Rule of Law*. International Journal of Legal Sociology, 9(4), 45-60.</w:t>
      </w:r>
    </w:p>
    <w:p>
      <w:pPr>
        <w:numPr>
          <w:ilvl w:val="0"/>
          <w:numId w:val="1002"/>
        </w:numPr>
        <w:pStyle w:val="Compact"/>
      </w:pPr>
      <w:r>
        <w:t xml:space="preserve">Jones, B. (2024). *AI Tools in Courtroom Strategy*. TechLaw Review, 11(1), 33-48.</w:t>
      </w:r>
    </w:p>
    <w:bookmarkStart w:id="29" w:name="X3cae97985bfd26975983a891c73b70ce2d58e37"/>
    <w:p>
      <w:pPr>
        <w:pStyle w:val="Heading3"/>
      </w:pPr>
      <w:r>
        <w:t xml:space="preserve">Figure 1. Distribution of Legal Specialties in United States Los Angeles</w:t>
      </w:r>
    </w:p>
    <w:p>
      <w:pPr>
        <w:pStyle w:val="FirstParagraph"/>
      </w:pPr>
      <w:r>
        <w:rPr>
          <w:iCs/>
          <w:i/>
        </w:rPr>
        <w:t xml:space="preserve">(Placeholder for bar chart illustrating the prevalence of IP, Real Estate, Immigration, and Criminal Defense practices among surveyed lawyers.)</w:t>
      </w:r>
    </w:p>
    <w:bookmarkEnd w:id="29"/>
    <w:bookmarkStart w:id="30" w:name="X12e5b3b1dbb0e4ed6f268bce7b1494771dfba35"/>
    <w:p>
      <w:pPr>
        <w:pStyle w:val="Heading3"/>
      </w:pPr>
      <w:r>
        <w:t xml:space="preserve">Figure 2. Impact of Cultural Competency on Mediation Success Rates</w:t>
      </w:r>
    </w:p>
    <w:p>
      <w:pPr>
        <w:pStyle w:val="FirstParagraph"/>
      </w:pPr>
      <w:r>
        <w:rPr>
          <w:iCs/>
          <w:i/>
        </w:rPr>
        <w:t xml:space="preserve">(Placeholder for line graph showing the correlation between use of interpreters/cultural mediators and settlement rates.)</w:t>
      </w:r>
    </w:p>
    <w:bookmarkEnd w:id="30"/>
    <w:p>
      <w:pPr>
        <w:pStyle w:val="BodyText"/>
      </w:pPr>
      <w:r>
        <w:rPr>
          <w:bCs/>
          <w:b/>
        </w:rPr>
        <w:t xml:space="preserve">Contact Information:</w:t>
      </w:r>
      <w:r>
        <w:br/>
      </w:r>
      <w:r>
        <w:t xml:space="preserve">John A. Smith , Esq .</w:t>
      </w:r>
      <w:r>
        <w:br/>
      </w:r>
      <w:r>
        <w:t xml:space="preserve">Email : jsmith@ucla.edu</w:t>
      </w:r>
      <w:r>
        <w:br/>
      </w:r>
      <w:r>
        <w:t xml:space="preserve">Phone : +1 (310) 555-0123</w:t>
      </w:r>
    </w:p>
    <w:p>
      <w:pPr>
        <w:pStyle w:val="BodyText"/>
      </w:pPr>
      <w:r>
        <w:t xml:space="preserve">© 2024 Academic Poster Presentation. All rights reserved.</w:t>
      </w:r>
      <w:r>
        <w:br/>
      </w:r>
      <w:r>
        <w:t xml:space="preserve">Presented at the Annual Conference on Urban Legal Studies, United States Los Angeles.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Advocate: Navigating the Complex Legal Landscape in United States Los Angeles</dc:title>
  <dc:creator/>
  <dc:language>en</dc:language>
  <cp:keywords/>
  <dcterms:created xsi:type="dcterms:W3CDTF">2026-07-29T19:20:40Z</dcterms:created>
  <dcterms:modified xsi:type="dcterms:W3CDTF">2026-07-29T19:20:40Z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