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Colombia</w:t>
      </w:r>
      <w:r>
        <w:t xml:space="preserve"> </w:t>
      </w:r>
      <w:r>
        <w:t xml:space="preserve">Bogotá</w:t>
      </w:r>
    </w:p>
    <w:bookmarkStart w:id="20" w:name="Xc964cf961753b76596f3519ce292b54dc579cc7"/>
    <w:p>
      <w:pPr>
        <w:pStyle w:val="Heading1"/>
      </w:pPr>
      <w:r>
        <w:t xml:space="preserve">Bridging the Digital Divide in Colombia Bogotá: The Evolving Role of the Academic Librarian</w:t>
      </w:r>
    </w:p>
    <w:p>
      <w:pPr>
        <w:pStyle w:val="FirstParagraph"/>
      </w:pPr>
      <w:r>
        <w:rPr>
          <w:bCs/>
          <w:b/>
        </w:rPr>
        <w:t xml:space="preserve">The Post-Pandemic Landscape, Information Literacy, and Community Engagement Strategies for University Libraries</w:t>
      </w:r>
    </w:p>
    <w:bookmarkEnd w:id="20"/>
    <w:p>
      <w:pPr>
        <w:pStyle w:val="BodyText"/>
      </w:pPr>
      <w:r>
        <w:rPr>
          <w:bCs/>
          <w:b/>
        </w:rPr>
        <w:t xml:space="preserve">Presentation Author:</w:t>
      </w:r>
      <w:r>
        <w:t xml:space="preserve"> </w:t>
      </w:r>
      <w:r>
        <w:t xml:space="preserve">[Your Name/Academic ID]</w:t>
      </w:r>
    </w:p>
    <w:p>
      <w:pPr>
        <w:pStyle w:val="BodyText"/>
      </w:pPr>
      <w:r>
        <w:rPr>
          <w:bCs/>
          <w:b/>
        </w:rPr>
        <w:t xml:space="preserve">Institution:</w:t>
      </w:r>
      <w:r>
        <w:t xml:space="preserve"> </w:t>
      </w:r>
      <w:r>
        <w:t xml:space="preserve">Universidad Nacional de Colombia / Pontificia Universidad Javeriana (Simulated)</w:t>
      </w:r>
    </w:p>
    <w:bookmarkStart w:id="21" w:name="date"/>
    <w:p>
      <w:pPr>
        <w:pStyle w:val="Heading2"/>
      </w:pPr>
      <w:r>
        <w:t xml:space="preserve">Date:</w:t>
      </w:r>
    </w:p>
    <w:p>
      <w:pPr>
        <w:pStyle w:val="FirstParagraph"/>
      </w:pPr>
      <w:r>
        <w:t xml:space="preserve">October 14, 2023</w:t>
      </w:r>
    </w:p>
    <w:bookmarkEnd w:id="21"/>
    <w:bookmarkStart w:id="22" w:name="the-context-of-colombia-bogotá"/>
    <w:p>
      <w:pPr>
        <w:pStyle w:val="Heading3"/>
      </w:pPr>
      <w:r>
        <w:t xml:space="preserve">The Context of Colombia Bogotá</w:t>
      </w:r>
    </w:p>
    <w:p>
      <w:pPr>
        <w:pStyle w:val="FirstParagraph"/>
      </w:pPr>
      <w:r>
        <w:t xml:space="preserve">Bogotá, the capital city of Colombia and one of the most significant intellectual hubs in South America, presents a unique challenge for academic institutions. As a metropolis that houses over eight million inhabitants and hosts more than twenty major universities—including prestigious entities like the Universidad Nacional de Colombia (UNAL) and Los Andes—Bogotá is characterized by extreme socioeconomic stratification. This geographical proximity between wealthy northern districts (such as Chicó or Usaquén) and impoverished southern localities creates a stark information divide. For the</w:t>
      </w:r>
      <w:r>
        <w:t xml:space="preserve"> </w:t>
      </w:r>
      <w:r>
        <w:rPr>
          <w:bCs/>
          <w:b/>
        </w:rPr>
        <w:t xml:space="preserve">Librarian</w:t>
      </w:r>
      <w:r>
        <w:t xml:space="preserve">, this geographic reality in</w:t>
      </w:r>
      <w:r>
        <w:t xml:space="preserve"> </w:t>
      </w:r>
      <w:r>
        <w:rPr>
          <w:bCs/>
          <w:b/>
        </w:rPr>
        <w:t xml:space="preserve">Colombia Bogotá</w:t>
      </w:r>
      <w:r>
        <w:t xml:space="preserve"> </w:t>
      </w:r>
      <w:r>
        <w:t xml:space="preserve">dictates that the role cannot be limited to mere custodianship of physical books; it must evolve into one of active social intervention through information equity.</w:t>
      </w:r>
    </w:p>
    <w:p>
      <w:pPr>
        <w:pStyle w:val="BodyText"/>
      </w:pPr>
      <w:r>
        <w:t xml:space="preserve">The post-pandemic era has exacerbated these disparities. While remote learning platforms expanded access, the lack of digital infrastructure in marginalized areas meant that many students fell behind. Consequently, university libraries in</w:t>
      </w:r>
      <w:r>
        <w:t xml:space="preserve"> </w:t>
      </w:r>
      <w:r>
        <w:rPr>
          <w:bCs/>
          <w:b/>
        </w:rPr>
        <w:t xml:space="preserve">Colombia Bogotá</w:t>
      </w:r>
      <w:r>
        <w:t xml:space="preserve"> </w:t>
      </w:r>
      <w:r>
        <w:t xml:space="preserve">have been forced to rethink their physical spaces as hybrid community centers rather than silent repositories.</w:t>
      </w:r>
    </w:p>
    <w:bookmarkEnd w:id="22"/>
    <w:bookmarkStart w:id="23" w:name="X9edca295cb439a68acc82febe4f57a20b5637f9"/>
    <w:p>
      <w:pPr>
        <w:pStyle w:val="Heading3"/>
      </w:pPr>
      <w:r>
        <w:t xml:space="preserve">The New Role of the Librarian: From Custodian to Facilitator</w:t>
      </w:r>
    </w:p>
    <w:p>
      <w:pPr>
        <w:pStyle w:val="FirstParagraph"/>
      </w:pPr>
      <w:r>
        <w:t xml:space="preserve">In the contemporary landscape of</w:t>
      </w:r>
      <w:r>
        <w:t xml:space="preserve"> </w:t>
      </w:r>
      <w:r>
        <w:rPr>
          <w:bCs/>
          <w:b/>
        </w:rPr>
        <w:t xml:space="preserve">Colombia Bogotá</w:t>
      </w:r>
      <w:r>
        <w:t xml:space="preserve">, the profile of the professional librarian has undergone a radical transformation. Historically, librarians were trained primarily in cataloging and classification systems such as Dewey Decimal or Library of Congress Classification. However, current demands require competencies in digital pedagogy, data curation, and community outreach.</w:t>
      </w:r>
    </w:p>
    <w:p>
      <w:pPr>
        <w:pStyle w:val="BodyText"/>
      </w:pPr>
      <w:r>
        <w:rPr>
          <w:bCs/>
          <w:b/>
        </w:rPr>
        <w:t xml:space="preserve">Digital Literacy Advocacy:</w:t>
      </w:r>
      <w:r>
        <w:t xml:space="preserve"> </w:t>
      </w:r>
      <w:r>
        <w:t xml:space="preserve">The modern librarian acts as a bridge between complex digital resources and students who may struggle with the technical aspects of accessing them. In</w:t>
      </w:r>
      <w:r>
        <w:t xml:space="preserve"> </w:t>
      </w:r>
      <w:r>
        <w:rPr>
          <w:bCs/>
          <w:b/>
        </w:rPr>
        <w:t xml:space="preserve">Colombia Bogotá</w:t>
      </w:r>
      <w:r>
        <w:t xml:space="preserve">, where internet connectivity can be unstable or expensive for lower-income families, librarians must provide not just access to e-journals, but also technical guidance on utilizing free public Wi-Fi networks managed by the city government (Red WiFi Gratis).</w:t>
      </w:r>
    </w:p>
    <w:p>
      <w:pPr>
        <w:pStyle w:val="BodyText"/>
      </w:pPr>
      <w:r>
        <w:rPr>
          <w:bCs/>
          <w:b/>
        </w:rPr>
        <w:t xml:space="preserve">Curatorial of Local Knowledge:</w:t>
      </w:r>
      <w:r>
        <w:t xml:space="preserve"> </w:t>
      </w:r>
      <w:r>
        <w:t xml:space="preserve">Another crucial aspect is the preservation and promotion of Colombian intellectual heritage. Librarians in Bogotá are increasingly curating collections that focus on Colombian history, sociology, and politics. This ensures that students engage with their own socio-cultural context rather than relying solely on imported Western narratives.</w:t>
      </w:r>
    </w:p>
    <w:bookmarkEnd w:id="23"/>
    <w:bookmarkStart w:id="24" w:name="strategic-initiatives-for-implementation"/>
    <w:p>
      <w:pPr>
        <w:pStyle w:val="Heading3"/>
      </w:pPr>
      <w:r>
        <w:t xml:space="preserve">Strategic Initiatives for Implementation</w:t>
      </w:r>
    </w:p>
    <w:p>
      <w:pPr>
        <w:pStyle w:val="FirstParagraph"/>
      </w:pPr>
      <w:r>
        <w:t xml:space="preserve">To effectively serve the diverse population of</w:t>
      </w:r>
      <w:r>
        <w:t xml:space="preserve"> </w:t>
      </w:r>
      <w:r>
        <w:rPr>
          <w:bCs/>
          <w:b/>
        </w:rPr>
        <w:t xml:space="preserve">Colombia Bogotá</w:t>
      </w:r>
      <w:r>
        <w:t xml:space="preserve">, academic libraries have implemented several strategic initiatives:</w:t>
      </w:r>
    </w:p>
    <w:p>
      <w:pPr>
        <w:pStyle w:val="BodyText"/>
      </w:pPr>
      <w:r>
        <w:rPr>
          <w:bCs/>
          <w:b/>
        </w:rPr>
        <w:t xml:space="preserve">1. The "Library Without Walls" Model:</w:t>
      </w:r>
      <w:r>
        <w:br/>
      </w:r>
      <w:r>
        <w:t xml:space="preserve">Recognizing that many students commute hours via the TransMilenio system or bus routes, libraries are extending their services beyond campus boundaries. This involves setting up satellite reading rooms in public parks (such as Parque Simón Bolívar or La Florida) and providing digital lending kits. The librarian’s role here is logistical and relational—building trust with communities that may not traditionally feel welcome in academic spaces.</w:t>
      </w:r>
    </w:p>
    <w:p>
      <w:pPr>
        <w:pStyle w:val="BodyText"/>
      </w:pPr>
      <w:r>
        <w:rPr>
          <w:bCs/>
          <w:b/>
        </w:rPr>
        <w:t xml:space="preserve">2. Collaborative Research Support:</w:t>
      </w:r>
      <w:r>
        <w:br/>
      </w:r>
      <w:r>
        <w:t xml:space="preserve">In response to the growing emphasis on research output, librarians provide specialized workshops on citation management tools (EndNote, Zotero) and Open Access publishing. This is vital for</w:t>
      </w:r>
      <w:r>
        <w:t xml:space="preserve"> </w:t>
      </w:r>
      <w:r>
        <w:rPr>
          <w:bCs/>
          <w:b/>
        </w:rPr>
        <w:t xml:space="preserve">Colombia Bogotá</w:t>
      </w:r>
      <w:r>
        <w:t xml:space="preserve">, where funding for research can be limited. By promoting open-access repositories like SciELO Colombia and Redalyc, librarians ensure that local research reaches a global audience without the barrier of subscription fees.</w:t>
      </w:r>
    </w:p>
    <w:p>
      <w:pPr>
        <w:pStyle w:val="BodyText"/>
      </w:pPr>
      <w:r>
        <w:rPr>
          <w:bCs/>
          <w:b/>
        </w:rPr>
        <w:t xml:space="preserve">3. Inclusive Spaces and Mental Health Support:</w:t>
      </w:r>
      <w:r>
        <w:br/>
      </w:r>
      <w:r>
        <w:t xml:space="preserve">The physical environment in Bogotá’s libraries has been redesigned to include safe spaces for dialogue and mental health support. Librarians are often trained as first responders to student distress, acting as a supportive network that acknowledges the stress associated with higher education access in a competitive urban environment.</w:t>
      </w:r>
    </w:p>
    <w:bookmarkEnd w:id="24"/>
    <w:bookmarkStart w:id="25" w:name="X0729c70808f4e3c9c6fbb0f9334f45cb02dd46d"/>
    <w:p>
      <w:pPr>
        <w:pStyle w:val="Heading3"/>
      </w:pPr>
      <w:r>
        <w:t xml:space="preserve">The Socio-Economic Impact of Library Services</w:t>
      </w:r>
    </w:p>
    <w:p>
      <w:pPr>
        <w:pStyle w:val="FirstParagraph"/>
      </w:pPr>
      <w:r>
        <w:t xml:space="preserve">The impact of proactive librarian services extends beyond academic grades. In</w:t>
      </w:r>
      <w:r>
        <w:t xml:space="preserve"> </w:t>
      </w:r>
      <w:r>
        <w:rPr>
          <w:bCs/>
          <w:b/>
        </w:rPr>
        <w:t xml:space="preserve">Colombia Bogotá</w:t>
      </w:r>
      <w:r>
        <w:t xml:space="preserve">, libraries serve as anchors for social mobility. For first-generation university students, the librarian provides the scaffolding necessary to navigate higher education institutions that were not designed with their background in mind.</w:t>
      </w:r>
    </w:p>
    <w:p>
      <w:pPr>
        <w:pStyle w:val="BodyText"/>
      </w:pPr>
      <w:r>
        <w:t xml:space="preserve">Data suggests that students who regularly engage with library services—specifically those involving information literacy instruction—demonstrate higher retention rates and graduation outcomes. Furthermore, by offering space for community workshops (ranging from coding classes to literature circles), the library becomes a catalyst for civic engagement. This is particularly relevant in</w:t>
      </w:r>
      <w:r>
        <w:t xml:space="preserve"> </w:t>
      </w:r>
      <w:r>
        <w:rPr>
          <w:bCs/>
          <w:b/>
        </w:rPr>
        <w:t xml:space="preserve">Colombia Bogotá</w:t>
      </w:r>
      <w:r>
        <w:t xml:space="preserve">, where civil society plays a pivotal role in maintaining democratic values.</w:t>
      </w:r>
    </w:p>
    <w:p>
      <w:pPr>
        <w:pStyle w:val="BodyText"/>
      </w:pPr>
      <w:r>
        <w:t xml:space="preserve">The librarian, therefore, acts as an agent of democratization. By ensuring that information is free, accessible, and usable, the library dismantles barriers to power and knowledge. This aligns with broader national goals outlined in Colombia’s Science and Technology policies which emphasize innovation driven by inclusive education.</w:t>
      </w:r>
    </w:p>
    <w:bookmarkEnd w:id="25"/>
    <w:bookmarkStart w:id="26" w:name="future-directions-and-challenges"/>
    <w:p>
      <w:pPr>
        <w:pStyle w:val="Heading3"/>
      </w:pPr>
      <w:r>
        <w:t xml:space="preserve">Future Directions and Challenges</w:t>
      </w:r>
    </w:p>
    <w:p>
      <w:pPr>
        <w:pStyle w:val="FirstParagraph"/>
      </w:pPr>
      <w:r>
        <w:t xml:space="preserve">Despite progress, challenges remain. The rapid evolution of Artificial Intelligence (AI) poses new questions regarding information verification. Librarians in</w:t>
      </w:r>
      <w:r>
        <w:t xml:space="preserve"> </w:t>
      </w:r>
      <w:r>
        <w:rPr>
          <w:bCs/>
          <w:b/>
        </w:rPr>
        <w:t xml:space="preserve">Bogotá</w:t>
      </w:r>
      <w:r>
        <w:t xml:space="preserve"> </w:t>
      </w:r>
      <w:r>
        <w:t xml:space="preserve">must now teach critical thinking skills specific to AI-generated content, helping students distinguish between reliable sources and hallucinations.</w:t>
      </w:r>
    </w:p>
    <w:p>
      <w:pPr>
        <w:pStyle w:val="BodyText"/>
      </w:pPr>
      <w:r>
        <w:rPr>
          <w:bCs/>
          <w:b/>
        </w:rPr>
        <w:t xml:space="preserve">Sustainability:</w:t>
      </w:r>
      <w:r>
        <w:t xml:space="preserve"> </w:t>
      </w:r>
      <w:r>
        <w:t xml:space="preserve">Funding remains a persistent issue. Libraries need robust advocacy strategies to demonstrate their ROI (Return on Investment) not just in academic terms, but in social terms. This involves collecting data on user engagement and success stories from marginalized communities.</w:t>
      </w:r>
    </w:p>
    <w:p>
      <w:pPr>
        <w:pStyle w:val="BodyText"/>
      </w:pPr>
      <w:r>
        <w:rPr>
          <w:bCs/>
          <w:b/>
        </w:rPr>
        <w:t xml:space="preserve">Digital Inclusion 2.0:</w:t>
      </w:r>
      <w:r>
        <w:t xml:space="preserve"> </w:t>
      </w:r>
      <w:r>
        <w:t xml:space="preserve">Future efforts must focus on hardware accessibility. Beyond software training, libraries need to facilitate the lending of laptops and tablets to students who cannot afford them, ensuring that the digital divide is practically bridged at a hardware level.</w:t>
      </w:r>
    </w:p>
    <w:bookmarkEnd w:id="26"/>
    <w:bookmarkStart w:id="27" w:name="conclusion"/>
    <w:p>
      <w:pPr>
        <w:pStyle w:val="Heading3"/>
      </w:pPr>
      <w:r>
        <w:t xml:space="preserve">Conclusion</w:t>
      </w:r>
    </w:p>
    <w:p>
      <w:pPr>
        <w:pStyle w:val="FirstParagraph"/>
      </w:pPr>
      <w:r>
        <w:br/>
      </w:r>
    </w:p>
    <w:p>
      <w:pPr>
        <w:pStyle w:val="BodyText"/>
      </w:pPr>
      <w:r>
        <w:t xml:space="preserve">The role of the librarian in</w:t>
      </w:r>
      <w:r>
        <w:t xml:space="preserve"> </w:t>
      </w:r>
      <w:r>
        <w:rPr>
          <w:bCs/>
          <w:b/>
        </w:rPr>
        <w:t xml:space="preserve">Colombia Bogotá</w:t>
      </w:r>
      <w:r>
        <w:t xml:space="preserve"> </w:t>
      </w:r>
      <w:r>
        <w:t xml:space="preserve">is no longer peripheral; it is central to the mission of social justice and academic excellence. By adapting to local needs, embracing digital innovation, and fostering inclusive environments, librarians are redefining what it means to be an academic institution in a rapidly changing world. The modern librarian in</w:t>
      </w:r>
      <w:r>
        <w:t xml:space="preserve"> </w:t>
      </w:r>
      <w:r>
        <w:rPr>
          <w:bCs/>
          <w:b/>
        </w:rPr>
        <w:t xml:space="preserve">Bogotá</w:t>
      </w:r>
      <w:r>
        <w:t xml:space="preserve"> </w:t>
      </w:r>
      <w:r>
        <w:t xml:space="preserve">is a teacher, a technologist, a community builder, and an advocate for equity.</w:t>
      </w:r>
    </w:p>
    <w:p>
      <w:pPr>
        <w:pStyle w:val="BodyText"/>
      </w:pPr>
      <w:r>
        <w:br/>
      </w:r>
    </w:p>
    <w:bookmarkEnd w:id="27"/>
    <w:bookmarkStart w:id="28" w:name="references-acknowledgments"/>
    <w:p>
      <w:pPr>
        <w:pStyle w:val="Heading3"/>
      </w:pPr>
      <w:r>
        <w:t xml:space="preserve">References &amp; Acknowledgments</w:t>
      </w:r>
    </w:p>
    <w:p>
      <w:pPr>
        <w:pStyle w:val="FirstParagraph"/>
      </w:pPr>
      <w:r>
        <w:br/>
      </w:r>
    </w:p>
    <w:p>
      <w:pPr>
        <w:pStyle w:val="BodyText"/>
      </w:pPr>
      <w:r>
        <w:t xml:space="preserve">- Ministerio de Cultura Colombia. (2022). "Informe sobre el Estado de las Bibliotecas en Bogotá."</w:t>
      </w:r>
    </w:p>
    <w:p>
      <w:pPr>
        <w:pStyle w:val="BodyText"/>
      </w:pPr>
      <w:r>
        <w:t xml:space="preserve">- UNESCO. (2015). "IFLA Public Library Manifesto."</w:t>
      </w:r>
    </w:p>
    <w:p>
      <w:pPr>
        <w:pStyle w:val="BodyText"/>
      </w:pPr>
      <w:r>
        <w:t xml:space="preserve">- Universidad Nacional de Colombia. Biblioteca Central Annual Report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Librarian in Colombia Bogotá</dc:title>
  <dc:creator/>
  <dc:language>en</dc:language>
  <cp:keywords/>
  <dcterms:created xsi:type="dcterms:W3CDTF">2026-07-29T17:00:35Z</dcterms:created>
  <dcterms:modified xsi:type="dcterms:W3CDTF">2026-07-29T17:00:35Z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