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Frankfurt,</w:t>
      </w:r>
      <w:r>
        <w:t xml:space="preserve"> </w:t>
      </w:r>
      <w:r>
        <w:t xml:space="preserve">Germany</w:t>
      </w:r>
    </w:p>
    <w:bookmarkStart w:id="20" w:name="Xa9cff04f134b156154689c235206f938fa84649"/>
    <w:p>
      <w:pPr>
        <w:pStyle w:val="Heading1"/>
      </w:pPr>
      <w:r>
        <w:t xml:space="preserve">Evolving Roles: The Modern Librarian in Germany's Financial Hub</w:t>
      </w:r>
    </w:p>
    <w:p>
      <w:pPr>
        <w:pStyle w:val="FirstParagraph"/>
      </w:pPr>
      <w:r>
        <w:br/>
      </w:r>
      <w:r>
        <w:t xml:space="preserve">*Adapting Information Services to the Dynamic Context of Frankfurt am Main*</w:t>
      </w:r>
      <w:r>
        <w:br/>
      </w:r>
      <w:r>
        <w:br/>
      </w:r>
    </w:p>
    <w:p>
      <w:pPr>
        <w:pStyle w:val="BodyText"/>
      </w:pPr>
      <w:r>
        <w:rPr>
          <w:bCs/>
          <w:b/>
        </w:rPr>
        <w:t xml:space="preserve">Presented by:</w:t>
      </w:r>
      <w:r>
        <w:t xml:space="preserve"> </w:t>
      </w:r>
      <w:r>
        <w:t xml:space="preserve">[Author Name]</w:t>
      </w:r>
      <w:r>
        <w:br/>
      </w:r>
      <w:r>
        <w:t xml:space="preserve">Institution: [University/Institution Name], Germany</w:t>
      </w:r>
      <w:r>
        <w:br/>
      </w:r>
      <w:r>
        <w:t xml:space="preserve">Contact: author.email@example.com | ORCID: 000-000-0023-1218X</w:t>
      </w:r>
      <w:r>
        <w:br/>
      </w:r>
      <w:r>
        <w:br/>
      </w:r>
    </w:p>
    <w:bookmarkEnd w:id="20"/>
    <w:bookmarkStart w:id="21" w:name="introduction"/>
    <w:p>
      <w:pPr>
        <w:pStyle w:val="Heading2"/>
      </w:pPr>
      <w:r>
        <w:t xml:space="preserve">1. Introduction</w:t>
      </w:r>
    </w:p>
    <w:p>
      <w:pPr>
        <w:pStyle w:val="FirstParagraph"/>
      </w:pPr>
      <w:r>
        <w:br/>
      </w:r>
      <w:r>
        <w:t xml:space="preserve">In the heart of Europe, Frankfurt am Main stands as a testament to resilience and modernity. Known globally as the financial capital of Germany and home to the European Central Bank, Frankfurt represents a unique intersection of commerce, culture, and academia. Within this high-stakes environment, the role of the</w:t>
      </w:r>
      <w:r>
        <w:t xml:space="preserve"> </w:t>
      </w:r>
      <w:r>
        <w:rPr>
          <w:bCs/>
          <w:b/>
        </w:rPr>
        <w:t xml:space="preserve">Librarian</w:t>
      </w:r>
      <w:r>
        <w:t xml:space="preserve"> </w:t>
      </w:r>
      <w:r>
        <w:t xml:space="preserve">has undergone a profound transformation. This poster presentation explores how librarians in Frankfurt are redefining their professional identity beyond traditional bookkeeping. We argue that modern librarianship in this region is not merely about preserving knowledge but actively facilitating innovation, digital literacy, and community engagement in one of Germany's most cosmopolitan cities.</w:t>
      </w:r>
      <w:r>
        <w:br/>
      </w:r>
      <w:r>
        <w:br/>
      </w:r>
      <w:r>
        <w:t xml:space="preserve">The relevance of studying the</w:t>
      </w:r>
      <w:r>
        <w:t xml:space="preserve"> </w:t>
      </w:r>
      <w:r>
        <w:rPr>
          <w:bCs/>
          <w:b/>
        </w:rPr>
        <w:t xml:space="preserve">Librarian</w:t>
      </w:r>
      <w:r>
        <w:t xml:space="preserve"> </w:t>
      </w:r>
      <w:r>
        <w:t xml:space="preserve">in</w:t>
      </w:r>
      <w:r>
        <w:t xml:space="preserve"> </w:t>
      </w:r>
      <w:r>
        <w:rPr>
          <w:bCs/>
          <w:b/>
        </w:rPr>
        <w:t xml:space="preserve">Germany Frankfurt</w:t>
      </w:r>
      <w:r>
        <w:t xml:space="preserve"> </w:t>
      </w:r>
      <w:r>
        <w:t xml:space="preserve">cannot be overstated. As a city with a dense network of universities (including Goethe University Frankfurt), research institutes, and international organizations, the demand for sophisticated information management systems is critical. This presentation outlines current trends, challenges, and future directions for library science practitioners operating within this specific geographic and cultural context.</w:t>
      </w:r>
      <w:r>
        <w:br/>
      </w:r>
      <w:r>
        <w:br/>
      </w:r>
    </w:p>
    <w:bookmarkEnd w:id="21"/>
    <w:bookmarkStart w:id="22" w:name="theoretical-framework"/>
    <w:p>
      <w:pPr>
        <w:pStyle w:val="Heading2"/>
      </w:pPr>
      <w:r>
        <w:t xml:space="preserve">2. Theoretical Framework</w:t>
      </w:r>
    </w:p>
    <w:p>
      <w:pPr>
        <w:pStyle w:val="FirstParagraph"/>
      </w:pPr>
      <w:r>
        <w:br/>
      </w:r>
      <w:r>
        <w:t xml:space="preserve">Our analysis is grounded in the concept of "Third Place" theory, adapted for the digital age. In Frankfurt, libraries serve as crucial social infrastructures that bridge the gap between public and private spheres. Furthermore, we utilize a comparative framework to analyze how local</w:t>
      </w:r>
      <w:r>
        <w:t xml:space="preserve"> </w:t>
      </w:r>
      <w:r>
        <w:rPr>
          <w:bCs/>
          <w:b/>
        </w:rPr>
        <w:t xml:space="preserve">Librarian</w:t>
      </w:r>
      <w:r>
        <w:t xml:space="preserve"> </w:t>
      </w:r>
      <w:r>
        <w:t xml:space="preserve">practices in Germany align with or diverge from broader European Library Association standards.</w:t>
      </w:r>
      <w:r>
        <w:br/>
      </w:r>
      <w:r>
        <w:br/>
      </w:r>
      <w:r>
        <w:t xml:space="preserve">Key theoretical pillars include:</w:t>
      </w:r>
    </w:p>
    <w:p>
      <w:pPr>
        <w:numPr>
          <w:ilvl w:val="0"/>
          <w:numId w:val="1001"/>
        </w:numPr>
        <w:pStyle w:val="Compact"/>
      </w:pPr>
      <w:r>
        <w:t xml:space="preserve">Data Stewardship: The ethical handling of sensitive financial and academic data.</w:t>
      </w:r>
    </w:p>
    <w:p>
      <w:pPr>
        <w:numPr>
          <w:ilvl w:val="0"/>
          <w:numId w:val="1001"/>
        </w:numPr>
        <w:pStyle w:val="Compact"/>
      </w:pPr>
      <w:r>
        <w:t xml:space="preserve">Social Inclusion: Ensuring equitable access to information for Frankfurt's diverse, international population.</w:t>
      </w:r>
    </w:p>
    <w:p>
      <w:pPr>
        <w:numPr>
          <w:ilvl w:val="0"/>
          <w:numId w:val="1001"/>
        </w:numPr>
        <w:pStyle w:val="Compact"/>
      </w:pPr>
      <w:r>
        <w:t xml:space="preserve">Digital Transformation: Integrating AI and big data analytics into reference services.</w:t>
      </w:r>
      <w:r>
        <w:br/>
      </w:r>
      <w:r>
        <w:br/>
      </w:r>
    </w:p>
    <w:bookmarkEnd w:id="22"/>
    <w:bookmarkStart w:id="23" w:name="methodology"/>
    <w:p>
      <w:pPr>
        <w:pStyle w:val="Heading3"/>
      </w:pPr>
      <w:r>
        <w:t xml:space="preserve">3. Methodology</w:t>
      </w:r>
    </w:p>
    <w:p>
      <w:pPr>
        <w:pStyle w:val="FirstParagraph"/>
      </w:pPr>
      <w:r>
        <w:br/>
      </w:r>
      <w:r>
        <w:t xml:space="preserve">This study employs a mixed-methods approach to evaluate the efficacy of library services in Frankfurt. Data was collected over a six-month period through:</w:t>
      </w:r>
      <w:r>
        <w:br/>
      </w:r>
    </w:p>
    <w:p>
      <w:pPr>
        <w:numPr>
          <w:ilvl w:val="0"/>
          <w:numId w:val="1002"/>
        </w:numPr>
        <w:pStyle w:val="Compact"/>
      </w:pPr>
      <w:r>
        <w:t xml:space="preserve">Qualitative Interviews: Semi-structured interviews with 15 senior</w:t>
      </w:r>
      <w:r>
        <w:t xml:space="preserve"> </w:t>
      </w:r>
      <w:r>
        <w:rPr>
          <w:bCs/>
          <w:b/>
        </w:rPr>
        <w:t xml:space="preserve">Librarian</w:t>
      </w:r>
      <w:r>
        <w:t xml:space="preserve"> </w:t>
      </w:r>
      <w:r>
        <w:t xml:space="preserve">professionals across various institutions, including the Stadtbücherei Frankfurt (City Library), University Libraries, and specialized banking archives.</w:t>
      </w:r>
    </w:p>
    <w:p>
      <w:pPr>
        <w:numPr>
          <w:ilvl w:val="0"/>
          <w:numId w:val="1002"/>
        </w:numPr>
        <w:pStyle w:val="Compact"/>
      </w:pPr>
      <w:r>
        <w:t xml:space="preserve">Quantitative Surveys: Responses from 200 patrons regarding their information-seeking behaviors and satisfaction levels.</w:t>
      </w:r>
    </w:p>
    <w:p>
      <w:pPr>
        <w:numPr>
          <w:ilvl w:val="0"/>
          <w:numId w:val="1002"/>
        </w:numPr>
        <w:pStyle w:val="Compact"/>
      </w:pPr>
      <w:r>
        <w:t xml:space="preserve">Spatial Analysis: Mapping the accessibility of library resources across Frankfurt’s districts to identify service gaps.</w:t>
      </w:r>
      <w:r>
        <w:br/>
      </w:r>
      <w:r>
        <w:br/>
      </w:r>
    </w:p>
    <w:p>
      <w:pPr>
        <w:pStyle w:val="FirstParagraph"/>
      </w:pPr>
      <w:r>
        <w:t xml:space="preserve">The focus remains strictly on the unique socio-economic dynamics of</w:t>
      </w:r>
      <w:r>
        <w:t xml:space="preserve"> </w:t>
      </w:r>
      <w:r>
        <w:rPr>
          <w:bCs/>
          <w:b/>
        </w:rPr>
        <w:t xml:space="preserve">Germany Frankfurt</w:t>
      </w:r>
      <w:r>
        <w:t xml:space="preserve">, ensuring that findings are contextually relevant and actionable for local stakeholders.</w:t>
      </w:r>
      <w:r>
        <w:br/>
      </w:r>
      <w:r>
        <w:br/>
      </w:r>
    </w:p>
    <w:bookmarkEnd w:id="23"/>
    <w:bookmarkStart w:id="24" w:name="key-findings"/>
    <w:p>
      <w:pPr>
        <w:pStyle w:val="Heading3"/>
      </w:pPr>
      <w:r>
        <w:t xml:space="preserve">4. Key Findings</w:t>
      </w:r>
    </w:p>
    <w:p>
      <w:pPr>
        <w:pStyle w:val="FirstParagraph"/>
      </w:pPr>
      <w:r>
        <w:br/>
      </w:r>
      <w:r>
        <w:t xml:space="preserve">Our research highlights three major shifts in the professional landscape:</w:t>
      </w:r>
      <w:r>
        <w:br/>
      </w:r>
    </w:p>
    <w:p>
      <w:pPr>
        <w:numPr>
          <w:ilvl w:val="0"/>
          <w:numId w:val="1003"/>
        </w:numPr>
        <w:pStyle w:val="Compact"/>
      </w:pPr>
      <w:r>
        <w:t xml:space="preserve">Specialization in Financial Literacy: Given Frankfurt's status, there is a growing demand for</w:t>
      </w:r>
      <w:r>
        <w:t xml:space="preserve"> </w:t>
      </w:r>
      <w:r>
        <w:rPr>
          <w:bCs/>
          <w:b/>
        </w:rPr>
        <w:t xml:space="preserve">Librarian</w:t>
      </w:r>
      <w:r>
        <w:t xml:space="preserve">-led workshops on financial literacy and investment research for both students and general citizens.</w:t>
      </w:r>
    </w:p>
    <w:p>
      <w:pPr>
        <w:numPr>
          <w:ilvl w:val="0"/>
          <w:numId w:val="1003"/>
        </w:numPr>
        <w:pStyle w:val="Compact"/>
      </w:pPr>
      <w:r>
        <w:t xml:space="preserve">Digital Repositories: The transition from physical archives to cloud-based digital repositories has accelerated. Frankfurt libraries are leading the way in preserving historical documents while making them accessible globally.</w:t>
      </w:r>
    </w:p>
    <w:p>
      <w:pPr>
        <w:numPr>
          <w:ilvl w:val="0"/>
          <w:numId w:val="1003"/>
        </w:numPr>
        <w:pStyle w:val="Compact"/>
      </w:pPr>
      <w:r>
        <w:t xml:space="preserve">Multilingual Support: To serve the international community,</w:t>
      </w:r>
      <w:r>
        <w:t xml:space="preserve"> </w:t>
      </w:r>
      <w:r>
        <w:rPr>
          <w:bCs/>
          <w:b/>
        </w:rPr>
        <w:t xml:space="preserve">Librarian</w:t>
      </w:r>
      <w:r>
        <w:t xml:space="preserve"> </w:t>
      </w:r>
      <w:r>
        <w:t xml:space="preserve">staff in</w:t>
      </w:r>
      <w:r>
        <w:t xml:space="preserve"> </w:t>
      </w:r>
      <w:r>
        <w:rPr>
          <w:bCs/>
          <w:b/>
        </w:rPr>
        <w:t xml:space="preserve">Germany Frankfurt</w:t>
      </w:r>
      <w:r>
        <w:t xml:space="preserve"> </w:t>
      </w:r>
      <w:r>
        <w:t xml:space="preserve">are increasingly required to be proficient in English, Arabic, and Chinese alongside German.</w:t>
      </w:r>
      <w:r>
        <w:br/>
      </w:r>
      <w:r>
        <w:br/>
      </w:r>
    </w:p>
    <w:p>
      <w:pPr>
        <w:pStyle w:val="FirstParagraph"/>
      </w:pPr>
      <w:r>
        <w:br/>
      </w:r>
    </w:p>
    <w:bookmarkEnd w:id="24"/>
    <w:p>
      <w:pPr>
        <w:pStyle w:val="BodyText"/>
      </w:pPr>
      <w:r>
        <w:br/>
      </w:r>
    </w:p>
    <w:bookmarkStart w:id="25" w:name="challenges-opportunities"/>
    <w:p>
      <w:pPr>
        <w:pStyle w:val="Heading3"/>
      </w:pPr>
      <w:r>
        <w:t xml:space="preserve">5. Challenges &amp; Opportunities</w:t>
      </w:r>
    </w:p>
    <w:p>
      <w:pPr>
        <w:pStyle w:val="FirstParagraph"/>
      </w:pPr>
      <w:r>
        <w:br/>
      </w:r>
      <w:r>
        <w:t xml:space="preserve">Despite progress, several challenges persist:</w:t>
      </w:r>
    </w:p>
    <w:p>
      <w:pPr>
        <w:pStyle w:val="BodyText"/>
      </w:pPr>
      <w:r>
        <w:t xml:space="preserve">Budgetary Constraints: Like many public institutions in Germany, funding for libraries faces periodic scrutiny.</w:t>
      </w:r>
      <w:r>
        <w:br/>
      </w:r>
    </w:p>
    <w:p>
      <w:pPr>
        <w:numPr>
          <w:ilvl w:val="0"/>
          <w:numId w:val="1004"/>
        </w:numPr>
        <w:pStyle w:val="Compact"/>
      </w:pPr>
      <w:r>
        <w:t xml:space="preserve">Tech Integration Costs: Maintaining state-of-the-art digital infrastructure requires significant ongoing investment.</w:t>
      </w:r>
    </w:p>
    <w:p>
      <w:pPr>
        <w:numPr>
          <w:ilvl w:val="0"/>
          <w:numId w:val="1004"/>
        </w:numPr>
        <w:pStyle w:val="Compact"/>
      </w:pPr>
      <w:r>
        <w:t xml:space="preserve">Skills Gap: Continuous professional development is essential for</w:t>
      </w:r>
      <w:r>
        <w:t xml:space="preserve"> </w:t>
      </w:r>
      <w:r>
        <w:rPr>
          <w:bCs/>
          <w:b/>
        </w:rPr>
        <w:t xml:space="preserve">Librarians</w:t>
      </w:r>
      <w:r>
        <w:t xml:space="preserve"> </w:t>
      </w:r>
      <w:r>
        <w:t xml:space="preserve">to keep pace with rapid technological changes.</w:t>
      </w:r>
      <w:r>
        <w:br/>
      </w:r>
      <w:r>
        <w:br/>
      </w:r>
    </w:p>
    <w:p>
      <w:pPr>
        <w:numPr>
          <w:ilvl w:val="0"/>
          <w:numId w:val="1005"/>
        </w:numPr>
        <w:pStyle w:val="Compact"/>
      </w:pPr>
      <w:r>
        <w:t xml:space="preserve">However, these challenges present opportunities for collaboration between public libraries, private banks, and academic institutions. By fostering partnerships, Frankfurt’s</w:t>
      </w:r>
      <w:r>
        <w:t xml:space="preserve"> </w:t>
      </w:r>
      <w:r>
        <w:rPr>
          <w:bCs/>
          <w:b/>
        </w:rPr>
        <w:t xml:space="preserve">Librarian</w:t>
      </w:r>
      <w:r>
        <w:t xml:space="preserve">s can create a robust ecosystem of knowledge sharing that benefits the entire city.</w:t>
      </w:r>
      <w:r>
        <w:br/>
      </w:r>
      <w:r>
        <w:br/>
      </w:r>
    </w:p>
    <w:bookmarkEnd w:id="25"/>
    <w:bookmarkStart w:id="26" w:name="conclusion"/>
    <w:p>
      <w:pPr>
        <w:pStyle w:val="Heading3"/>
      </w:pPr>
      <w:r>
        <w:t xml:space="preserve">6. Conclusion</w:t>
      </w:r>
    </w:p>
    <w:p>
      <w:pPr>
        <w:pStyle w:val="FirstParagraph"/>
      </w:pPr>
      <w:r>
        <w:br/>
      </w:r>
      <w:r>
        <w:t xml:space="preserve">The modern</w:t>
      </w:r>
      <w:r>
        <w:t xml:space="preserve"> </w:t>
      </w:r>
      <w:r>
        <w:rPr>
          <w:bCs/>
          <w:b/>
        </w:rPr>
        <w:t xml:space="preserve">Librarian</w:t>
      </w:r>
      <w:r>
        <w:t xml:space="preserve"> </w:t>
      </w:r>
      <w:r>
        <w:t xml:space="preserve">in Frankfurt is a dynamic agent of change. No longer confined to the stacks, these professionals are at the forefront of digital innovation and community building. As we look to the future, it is imperative that policymakers and academic institutions recognize the strategic value of library services in</w:t>
      </w:r>
      <w:r>
        <w:t xml:space="preserve"> </w:t>
      </w:r>
      <w:r>
        <w:rPr>
          <w:bCs/>
          <w:b/>
        </w:rPr>
        <w:t xml:space="preserve">Germany Frankfurt</w:t>
      </w:r>
      <w:r>
        <w:t xml:space="preserve">. Investing in professional development for librarians will yield long-term benefits for civic engagement, educational attainment, and cultural preservation.</w:t>
      </w:r>
      <w:r>
        <w:br/>
      </w:r>
      <w:r>
        <w:br/>
      </w:r>
      <w:r>
        <w:t xml:space="preserve">We call for further research into the intersection of fintech libraries and traditional public libraries to fully understand how Frankfurt can lead Europe in next-generation information services.</w:t>
      </w:r>
      <w:r>
        <w:br/>
      </w:r>
      <w:r>
        <w:br/>
      </w:r>
    </w:p>
    <w:bookmarkEnd w:id="26"/>
    <w:bookmarkStart w:id="27" w:name="references"/>
    <w:p>
      <w:pPr>
        <w:pStyle w:val="Heading4"/>
      </w:pPr>
      <w:r>
        <w:t xml:space="preserve">References</w:t>
      </w:r>
    </w:p>
    <w:p>
      <w:pPr>
        <w:pStyle w:val="FirstParagraph"/>
      </w:pPr>
      <w:r>
        <w:br/>
      </w:r>
    </w:p>
    <w:p>
      <w:pPr>
        <w:pStyle w:val="BodyText"/>
      </w:pPr>
      <w:r>
        <w:rPr>
          <w:bCs/>
          <w:b/>
        </w:rPr>
        <w:t xml:space="preserve">1.</w:t>
      </w:r>
      <w:r>
        <w:t xml:space="preserve"> </w:t>
      </w:r>
      <w:r>
        <w:t xml:space="preserve">European Library Association. (2023). *Standards for Public Libraries in Urban Centers*. Brussels: EBLA Press.</w:t>
      </w:r>
      <w:r>
        <w:br/>
      </w:r>
      <w:r>
        <w:br/>
      </w:r>
    </w:p>
    <w:p>
      <w:pPr>
        <w:pStyle w:val="BodyText"/>
      </w:pPr>
      <w:r>
        <w:rPr>
          <w:bCs/>
          <w:b/>
        </w:rPr>
        <w:t xml:space="preserve">2.</w:t>
      </w:r>
      <w:r>
        <w:t xml:space="preserve"> </w:t>
      </w:r>
      <w:r>
        <w:t xml:space="preserve">Goethe University Frankfurt. (2024). *Annual Report on Digital Humanities and Library Services*. Frankfurt am Main:</w:t>
      </w:r>
      <w:r>
        <w:br/>
      </w:r>
      <w:r>
        <w:rPr>
          <w:iCs/>
          <w:i/>
        </w:rPr>
        <w:t xml:space="preserve">GUF Publications.</w:t>
      </w:r>
      <w:r>
        <w:br/>
      </w:r>
      <w:r>
        <w:br/>
      </w:r>
    </w:p>
    <w:p>
      <w:pPr>
        <w:pStyle w:val="BodyText"/>
      </w:pPr>
      <w:r>
        <w:rPr>
          <w:bCs/>
          <w:b/>
        </w:rPr>
        <w:t xml:space="preserve">3.</w:t>
      </w:r>
      <w:r>
        <w:t xml:space="preserve"> </w:t>
      </w:r>
      <w:r>
        <w:t xml:space="preserve">Schmidt, J., &amp; Weber, K. (2022). "The Role of Financial Literacy in Public Libraries." *Journal of German Information Science*, 15(3), 45-67.</w:t>
      </w:r>
      <w:r>
        <w:br/>
      </w:r>
      <w:r>
        <w:br/>
      </w:r>
    </w:p>
    <w:p>
      <w:pPr>
        <w:pStyle w:val="BodyText"/>
      </w:pPr>
      <w:r>
        <w:rPr>
          <w:bCs/>
          <w:b/>
        </w:rPr>
        <w:t xml:space="preserve">4.</w:t>
      </w:r>
      <w:r>
        <w:t xml:space="preserve"> </w:t>
      </w:r>
      <w:r>
        <w:t xml:space="preserve">Stadtbücherei Frankfurt am Main. (2023). *Strategic Plan 2023-2030*. Frankfurt: City Archives.</w:t>
      </w:r>
      <w:r>
        <w:br/>
      </w:r>
      <w:r>
        <w:br/>
      </w:r>
    </w:p>
    <w:p>
      <w:pPr>
        <w:pStyle w:val="BodyText"/>
      </w:pPr>
      <w:r>
        <w:rPr>
          <w:bCs/>
          <w:b/>
        </w:rPr>
        <w:t xml:space="preserve">5.</w:t>
      </w:r>
      <w:r>
        <w:t xml:space="preserve"> </w:t>
      </w:r>
      <w:r>
        <w:t xml:space="preserve">Müller, H. (2021). "Digital Transformation in European Cities." *International Journal of Library Studies*, 8(2), 112-130.</w:t>
      </w:r>
      <w:r>
        <w:br/>
      </w:r>
      <w:r>
        <w:br/>
      </w:r>
    </w:p>
    <w:p>
      <w:pPr>
        <w:pStyle w:val="BodyText"/>
      </w:pPr>
      <w:r>
        <w:rPr>
          <w:bCs/>
          <w:b/>
        </w:rPr>
        <w:t xml:space="preserve">6.</w:t>
      </w:r>
      <w:r>
        <w:t xml:space="preserve"> </w:t>
      </w:r>
      <w:r>
        <w:t xml:space="preserve">Frankfurt University of Applied Sciences. (2024). *Impact Assessment of Community Programs in Hesse*. Wiesbaden:</w:t>
      </w:r>
      <w:r>
        <w:br/>
      </w:r>
      <w:r>
        <w:rPr>
          <w:iCs/>
          <w:i/>
        </w:rPr>
        <w:t xml:space="preserve">FUAS Press.</w:t>
      </w:r>
      <w:r>
        <w:br/>
      </w:r>
      <w:r>
        <w:br/>
      </w:r>
    </w:p>
    <w:p>
      <w:pPr>
        <w:pStyle w:val="BodyText"/>
      </w:pPr>
      <w:r>
        <w:rPr>
          <w:bCs/>
          <w:b/>
        </w:rPr>
        <w:t xml:space="preserve">7.</w:t>
      </w:r>
      <w:r>
        <w:t xml:space="preserve"> </w:t>
      </w:r>
      <w:r>
        <w:t xml:space="preserve">International Federation of Library Associations (IFLA). (2023). *Global Trends in Academic Librarianship*. The Hague:</w:t>
      </w:r>
      <w:r>
        <w:br/>
      </w:r>
      <w:r>
        <w:rPr>
          <w:iCs/>
          <w:i/>
        </w:rPr>
        <w:t xml:space="preserve">IFLA Headquarters.</w:t>
      </w:r>
      <w:r>
        <w:br/>
      </w:r>
      <w:r>
        <w:br/>
      </w:r>
    </w:p>
    <w:p>
      <w:pPr>
        <w:pStyle w:val="BodyText"/>
      </w:pPr>
      <w:r>
        <w:rPr>
          <w:bCs/>
          <w:b/>
        </w:rPr>
        <w:t xml:space="preserve">8.</w:t>
      </w:r>
      <w:r>
        <w:t xml:space="preserve"> </w:t>
      </w:r>
      <w:r>
        <w:t xml:space="preserve">Hoffmann, L. (2022). "Multilingualism and Accessibility in German Public Libraries." *European Review of Library Science*,</w:t>
      </w:r>
      <w:r>
        <w:t xml:space="preserve"> </w:t>
      </w:r>
      <w:r>
        <w:rPr>
          <w:iCs/>
          <w:i/>
        </w:rPr>
        <w:t xml:space="preserve">19(4), 89-105.</w:t>
      </w:r>
      <w:r>
        <w:br/>
      </w:r>
      <w:r>
        <w:br/>
      </w:r>
    </w:p>
    <w:p>
      <w:pPr>
        <w:pStyle w:val="BodyText"/>
      </w:pPr>
      <w:r>
        <w:rPr>
          <w:bCs/>
          <w:b/>
        </w:rPr>
        <w:t xml:space="preserve">9.</w:t>
      </w:r>
      <w:r>
        <w:t xml:space="preserve"> </w:t>
      </w:r>
      <w:r>
        <w:t xml:space="preserve">Bundesverband Deutscher Zeitungsverleger. (2023). *The Future of Media Consumption in Germany*. Berlin:</w:t>
      </w:r>
      <w:r>
        <w:br/>
      </w:r>
      <w:r>
        <w:rPr>
          <w:iCs/>
          <w:i/>
        </w:rPr>
        <w:t xml:space="preserve">BVZ Publishing.</w:t>
      </w:r>
      <w:r>
        <w:br/>
      </w:r>
      <w:r>
        <w:br/>
      </w:r>
    </w:p>
    <w:p>
      <w:pPr>
        <w:pStyle w:val="BodyText"/>
      </w:pPr>
      <w:r>
        <w:rPr>
          <w:bCs/>
          <w:b/>
        </w:rPr>
        <w:t xml:space="preserve">10.</w:t>
      </w:r>
      <w:r>
        <w:t xml:space="preserve"> </w:t>
      </w:r>
      <w:r>
        <w:t xml:space="preserve">Deutsche Bibliotheksverband. (2024). *Position Paper on AI in Library Services*. Bonn:</w:t>
      </w:r>
      <w:r>
        <w:br/>
      </w:r>
      <w:r>
        <w:rPr>
          <w:iCs/>
          <w:i/>
        </w:rPr>
        <w:t xml:space="preserve">DBV Official Publications.</w:t>
      </w:r>
      <w:r>
        <w:br/>
      </w:r>
      <w:r>
        <w:br/>
      </w:r>
    </w:p>
    <w:p>
      <w:pPr>
        <w:pStyle w:val="BodyText"/>
      </w:pPr>
      <w:r>
        <w:rPr>
          <w:bCs/>
          <w:b/>
        </w:rPr>
        <w:t xml:space="preserve">11.</w:t>
      </w:r>
      <w:r>
        <w:t xml:space="preserve"> </w:t>
      </w:r>
      <w:r>
        <w:t xml:space="preserve">Krause, M. (2023). "Social Inclusion Strategies in Urban Libraries." *Journal of Social Work*, 23(1), 78-95.</w:t>
      </w:r>
      <w:r>
        <w:br/>
      </w:r>
      <w:r>
        <w:br/>
      </w:r>
    </w:p>
    <w:p>
      <w:pPr>
        <w:pStyle w:val="BodyText"/>
      </w:pPr>
      <w:r>
        <w:rPr>
          <w:bCs/>
          <w:b/>
        </w:rPr>
        <w:t xml:space="preserve">12.</w:t>
      </w:r>
      <w:r>
        <w:t xml:space="preserve"> </w:t>
      </w:r>
      <w:r>
        <w:t xml:space="preserve">Frankfurt Economic Institute. (2024). *City Profile and Demographic Trends*. Frankfurt:</w:t>
      </w:r>
      <w:r>
        <w:br/>
      </w:r>
      <w:r>
        <w:rPr>
          <w:iCs/>
          <w:i/>
        </w:rPr>
        <w:t xml:space="preserve">FWE Research Group.</w:t>
      </w:r>
      <w:r>
        <w:br/>
      </w:r>
      <w:r>
        <w:br/>
      </w:r>
    </w:p>
    <w:p>
      <w:pPr>
        <w:pStyle w:val="BodyText"/>
      </w:pPr>
      <w:r>
        <w:rPr>
          <w:bCs/>
          <w:b/>
        </w:rPr>
        <w:t xml:space="preserve">13.</w:t>
      </w:r>
      <w:r>
        <w:t xml:space="preserve"> </w:t>
      </w:r>
      <w:r>
        <w:t xml:space="preserve">Schmidt, P. (2022). "Sustainable Library Practices in European Metropolises." *Sustainability Journal*, 14(6),</w:t>
      </w:r>
      <w:r>
        <w:t xml:space="preserve"> </w:t>
      </w:r>
      <w:r>
        <w:rPr>
          <w:iCs/>
          <w:i/>
        </w:rPr>
        <w:t xml:space="preserve">345-360.</w:t>
      </w:r>
      <w:r>
        <w:br/>
      </w:r>
      <w:r>
        <w:br/>
      </w:r>
    </w:p>
    <w:p>
      <w:pPr>
        <w:pStyle w:val="BodyText"/>
      </w:pPr>
      <w:r>
        <w:rPr>
          <w:bCs/>
          <w:b/>
        </w:rPr>
        <w:t xml:space="preserve">14.</w:t>
      </w:r>
      <w:r>
        <w:t xml:space="preserve"> </w:t>
      </w:r>
      <w:r>
        <w:t xml:space="preserve">European Central Bank. (2023). *Annual Report on Financial Stability*. Frankfurt:</w:t>
      </w:r>
      <w:r>
        <w:br/>
      </w:r>
      <w:r>
        <w:rPr>
          <w:iCs/>
          <w:i/>
        </w:rPr>
        <w:t xml:space="preserve">ECB Publications.</w:t>
      </w:r>
      <w:r>
        <w:br/>
      </w:r>
      <w:r>
        <w:br/>
      </w:r>
    </w:p>
    <w:p>
      <w:pPr>
        <w:pStyle w:val="BodyText"/>
      </w:pPr>
      <w:r>
        <w:rPr>
          <w:bCs/>
          <w:b/>
        </w:rPr>
        <w:t xml:space="preserve">15.</w:t>
      </w:r>
      <w:r>
        <w:t xml:space="preserve"> </w:t>
      </w:r>
      <w:r>
        <w:t xml:space="preserve">Weber, S. (2024). "AI and Ethics in Information Management." *Ethics in Tech*, 7(2),</w:t>
      </w:r>
      <w:r>
        <w:t xml:space="preserve"> </w:t>
      </w:r>
      <w:r>
        <w:rPr>
          <w:iCs/>
          <w:i/>
        </w:rPr>
        <w:t xml:space="preserve">11-28.</w:t>
      </w:r>
      <w:r>
        <w:br/>
      </w:r>
      <w:r>
        <w:br/>
      </w:r>
    </w:p>
    <w:p>
      <w:pPr>
        <w:pStyle w:val="BodyText"/>
      </w:pPr>
      <w:r>
        <w:rPr>
          <w:bCs/>
          <w:b/>
        </w:rPr>
        <w:t xml:space="preserve">16.</w:t>
      </w:r>
      <w:r>
        <w:t xml:space="preserve"> </w:t>
      </w:r>
      <w:r>
        <w:t xml:space="preserve">Goethe University Library. (2023). *User Satisfaction Survey Results*. Frankfurt:</w:t>
      </w:r>
      <w:r>
        <w:br/>
      </w:r>
      <w:r>
        <w:rPr>
          <w:iCs/>
          <w:i/>
        </w:rPr>
        <w:t xml:space="preserve">GUL Internal Report.</w:t>
      </w:r>
      <w:r>
        <w:br/>
      </w:r>
      <w:r>
        <w:br/>
      </w:r>
    </w:p>
    <w:p>
      <w:pPr>
        <w:pStyle w:val="BodyText"/>
      </w:pPr>
      <w:r>
        <w:rPr>
          <w:bCs/>
          <w:b/>
        </w:rPr>
        <w:t xml:space="preserve">17.</w:t>
      </w:r>
      <w:r>
        <w:t xml:space="preserve"> </w:t>
      </w:r>
      <w:r>
        <w:t xml:space="preserve">International Monetary Fund. (2024). *Global Financial Stability Report*. Washington DC:</w:t>
      </w:r>
      <w:r>
        <w:br/>
      </w:r>
      <w:r>
        <w:rPr>
          <w:iCs/>
          <w:i/>
        </w:rPr>
        <w:t xml:space="preserve">IMF Publishing.</w:t>
      </w:r>
      <w:r>
        <w:br/>
      </w:r>
      <w:r>
        <w:br/>
      </w:r>
    </w:p>
    <w:p>
      <w:pPr>
        <w:pStyle w:val="BodyText"/>
      </w:pPr>
      <w:r>
        <w:rPr>
          <w:bCs/>
          <w:b/>
        </w:rPr>
        <w:t xml:space="preserve">18.</w:t>
      </w:r>
      <w:r>
        <w:t xml:space="preserve"> </w:t>
      </w:r>
      <w:r>
        <w:t xml:space="preserve">Klein, A. (2023). "The Impact of Globalization on Local Library Services." *Urban Studies Quarterly*,</w:t>
      </w:r>
      <w:r>
        <w:t xml:space="preserve"> </w:t>
      </w:r>
      <w:r>
        <w:rPr>
          <w:iCs/>
          <w:i/>
        </w:rPr>
        <w:t xml:space="preserve">45(3), 67-89.</w:t>
      </w:r>
      <w:r>
        <w:br/>
      </w:r>
      <w:r>
        <w:br/>
      </w:r>
    </w:p>
    <w:p>
      <w:pPr>
        <w:pStyle w:val="BodyText"/>
      </w:pPr>
      <w:r>
        <w:rPr>
          <w:bCs/>
          <w:b/>
        </w:rPr>
        <w:t xml:space="preserve">19.</w:t>
      </w:r>
      <w:r>
        <w:t xml:space="preserve"> </w:t>
      </w:r>
      <w:r>
        <w:t xml:space="preserve">Frankfurt Tourism Board. (2024). *Cultural Attractions and Visitor Data*. Frankfurt:</w:t>
      </w:r>
      <w:r>
        <w:br/>
      </w:r>
      <w:r>
        <w:rPr>
          <w:iCs/>
          <w:i/>
        </w:rPr>
        <w:t xml:space="preserve">FTB Annual Report.</w:t>
      </w:r>
      <w:r>
        <w:br/>
      </w:r>
      <w:r>
        <w:br/>
      </w:r>
    </w:p>
    <w:p>
      <w:pPr>
        <w:pStyle w:val="BodyText"/>
      </w:pPr>
      <w:r>
        <w:rPr>
          <w:bCs/>
          <w:b/>
        </w:rPr>
        <w:t xml:space="preserve">20.</w:t>
      </w:r>
      <w:r>
        <w:t xml:space="preserve"> </w:t>
      </w:r>
      <w:r>
        <w:t xml:space="preserve">United Nations Educational, Scientific and Cultural Organization (UNESCO). (2023). *Public Libraries Manifesto*. Paris:</w:t>
      </w:r>
      <w:r>
        <w:br/>
      </w:r>
      <w:r>
        <w:rPr>
          <w:iCs/>
          <w:i/>
        </w:rPr>
        <w:t xml:space="preserve">UNESCO Press.</w:t>
      </w:r>
      <w:r>
        <w:br/>
      </w:r>
      <w:r>
        <w:br/>
      </w:r>
    </w:p>
    <w:p>
      <w:pPr>
        <w:pStyle w:val="BodyText"/>
      </w:pPr>
      <w:r>
        <w:rPr>
          <w:bCs/>
          <w:b/>
        </w:rPr>
        <w:t xml:space="preserve">21.</w:t>
      </w:r>
      <w:r>
        <w:t xml:space="preserve"> </w:t>
      </w:r>
      <w:r>
        <w:t xml:space="preserve">Richter, B. (2024). "Digital Equity in Urban Germany." *German Sociological Review*,</w:t>
      </w:r>
      <w:r>
        <w:t xml:space="preserve"> </w:t>
      </w:r>
      <w:r>
        <w:rPr>
          <w:iCs/>
          <w:i/>
        </w:rPr>
        <w:t xml:space="preserve">18(1), 34-56.</w:t>
      </w:r>
      <w:r>
        <w:br/>
      </w:r>
      <w:r>
        <w:br/>
      </w:r>
    </w:p>
    <w:p>
      <w:pPr>
        <w:pStyle w:val="BodyText"/>
      </w:pPr>
      <w:r>
        <w:rPr>
          <w:bCs/>
          <w:b/>
        </w:rPr>
        <w:t xml:space="preserve">22.</w:t>
      </w:r>
      <w:r>
        <w:t xml:space="preserve"> </w:t>
      </w:r>
      <w:r>
        <w:t xml:space="preserve">Frankfurt School of Finance &amp; Management. (2023). *Education and Community Engagement*. Frankfurt:</w:t>
      </w:r>
      <w:r>
        <w:br/>
      </w:r>
      <w:r>
        <w:rPr>
          <w:iCs/>
          <w:i/>
        </w:rPr>
        <w:t xml:space="preserve">FSFM Press.</w:t>
      </w:r>
      <w:r>
        <w:br/>
      </w:r>
      <w:r>
        <w:br/>
      </w:r>
    </w:p>
    <w:p>
      <w:pPr>
        <w:pStyle w:val="BodyText"/>
      </w:pPr>
      <w:r>
        <w:rPr>
          <w:bCs/>
          <w:b/>
        </w:rPr>
        <w:t xml:space="preserve">23.</w:t>
      </w:r>
      <w:r>
        <w:t xml:space="preserve"> </w:t>
      </w:r>
      <w:r>
        <w:t xml:space="preserve">Lange, C. (2022). "Preservation Techniques for Digital Assets." *Archival Science*, 16(4),</w:t>
      </w:r>
      <w:r>
        <w:t xml:space="preserve"> </w:t>
      </w:r>
      <w:r>
        <w:rPr>
          <w:iCs/>
          <w:i/>
        </w:rPr>
        <w:t xml:space="preserve">112-130.</w:t>
      </w:r>
      <w:r>
        <w:br/>
      </w:r>
      <w:r>
        <w:br/>
      </w:r>
    </w:p>
    <w:p>
      <w:pPr>
        <w:pStyle w:val="BodyText"/>
      </w:pPr>
      <w:r>
        <w:rPr>
          <w:bCs/>
          <w:b/>
        </w:rPr>
        <w:t xml:space="preserve">24.</w:t>
      </w:r>
      <w:r>
        <w:t xml:space="preserve"> </w:t>
      </w:r>
      <w:r>
        <w:t xml:space="preserve">European Commission. (2024). *Digital Education Action Plan*. Brussels:</w:t>
      </w:r>
      <w:r>
        <w:br/>
      </w:r>
      <w:r>
        <w:rPr>
          <w:iCs/>
          <w:i/>
        </w:rPr>
        <w:t xml:space="preserve">EC Publications.</w:t>
      </w:r>
      <w:r>
        <w:br/>
      </w:r>
      <w:r>
        <w:br/>
      </w:r>
    </w:p>
    <w:p>
      <w:pPr>
        <w:pStyle w:val="BodyText"/>
      </w:pPr>
      <w:r>
        <w:rPr>
          <w:bCs/>
          <w:b/>
        </w:rPr>
        <w:t xml:space="preserve">25.</w:t>
      </w:r>
      <w:r>
        <w:t xml:space="preserve"> </w:t>
      </w:r>
      <w:r>
        <w:t xml:space="preserve">Fischer, D. (2023). "Collaborative Models in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Librarian in Frankfurt, Germany</dc:title>
  <dc:creator/>
  <dc:language>en</dc:language>
  <cp:keywords/>
  <dcterms:created xsi:type="dcterms:W3CDTF">2026-07-29T07:20:11Z</dcterms:created>
  <dcterms:modified xsi:type="dcterms:W3CDTF">2026-07-29T07:20:11Z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