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Italy</w:t>
      </w:r>
      <w:r>
        <w:t xml:space="preserve"> </w:t>
      </w:r>
      <w:r>
        <w:t xml:space="preserve">Rome</w:t>
      </w:r>
    </w:p>
    <w:bookmarkStart w:id="36" w:name="X471cd11ae14bf5c38519b31711f8aa9a91282b6"/>
    <w:p>
      <w:pPr>
        <w:pStyle w:val="Heading1"/>
      </w:pPr>
      <w:r>
        <w:t xml:space="preserve">The Evolving Role of the Modern Librarian in Italy Rome: Bridging Digital Innovation and Heritage Preservation</w:t>
      </w:r>
    </w:p>
    <w:p>
      <w:pPr>
        <w:pStyle w:val="FirstParagraph"/>
      </w:pPr>
      <w:r>
        <w:t xml:space="preserve">Presented by: Dr. Alessandro Verdi, Department of Information Sciences, Sapienza University of Rome</w:t>
      </w:r>
      <w:r>
        <w:br/>
      </w:r>
      <w:r>
        <w:t xml:space="preserve">In Collaboration with the Biblioteca Nazionale Centrale di Roma and Local Heritage Institutions</w:t>
      </w:r>
    </w:p>
    <w:bookmarkStart w:id="20" w:name="abstract"/>
    <w:p>
      <w:pPr>
        <w:pStyle w:val="Heading2"/>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critically examines the multifaceted transformation of the</w:t>
      </w:r>
      <w:r>
        <w:t xml:space="preserve"> </w:t>
      </w:r>
      <w:r>
        <w:rPr>
          <w:bCs/>
          <w:b/>
        </w:rPr>
        <w:t xml:space="preserve">Librarian</w:t>
      </w:r>
      <w:r>
        <w:t xml:space="preserve"> </w:t>
      </w:r>
      <w:r>
        <w:t xml:space="preserve">profession within the unique socio-cultural and historical landscape of</w:t>
      </w:r>
    </w:p>
    <w:p>
      <w:pPr>
        <w:pStyle w:val="BodyText"/>
      </w:pPr>
      <w:r>
        <w:t xml:space="preserve">Rome Italy Rome Italy Rome</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Librarian</w:t>
      </w:r>
      <w:r>
        <w:t xml:space="preserve"> </w:t>
      </w:r>
      <w:r>
        <w:t xml:space="preserve">is undergoing a paradigm shift globally, yet this transition takes on distinct characteristics in ancient cities like Rome. Located at the heart of European intellectual history, Rome presents a unique challenge where digital innovation must coexist with millennia-old heritage. This presentation explores how modern librarianship in</w:t>
      </w:r>
    </w:p>
    <w:p>
      <w:pPr>
        <w:pStyle w:val="BodyText"/>
      </w:pPr>
      <w:r>
        <w:t xml:space="preserve">Rome Italy Rome Italy</w:t>
      </w:r>
    </w:p>
    <w:bookmarkEnd w:id="21"/>
    <w:bookmarkStart w:id="22" w:name="methodology"/>
    <w:p>
      <w:pPr>
        <w:pStyle w:val="Heading2"/>
      </w:pPr>
      <w:r>
        <w:t xml:space="preserve">2. Methodology</w:t>
      </w:r>
    </w:p>
    <w:p>
      <w:pPr>
        <w:numPr>
          <w:ilvl w:val="0"/>
          <w:numId w:val="1001"/>
        </w:numPr>
        <w:pStyle w:val="Compact"/>
      </w:pPr>
      <w:r>
        <w:rPr>
          <w:bCs/>
          <w:b/>
        </w:rPr>
        <w:t xml:space="preserve">Data Collection:</w:t>
      </w:r>
      <w:r>
        <w:t xml:space="preserve"> </w:t>
      </w:r>
      <w:r>
        <w:t xml:space="preserve">Semi-structured interviews conducted with forty senior librarians across major institutions in Rome, including the Vatican Library and Sapienza University libraries.</w:t>
      </w:r>
    </w:p>
    <w:p>
      <w:pPr>
        <w:numPr>
          <w:ilvl w:val="0"/>
          <w:numId w:val="1001"/>
        </w:numPr>
        <w:pStyle w:val="Compact"/>
      </w:pPr>
      <w:r>
        <w:rPr>
          <w:bCs/>
          <w:b/>
        </w:rPr>
        <w:t xml:space="preserve">Observational Analysis:</w:t>
      </w:r>
      <w:r>
        <w:t xml:space="preserve"> </w:t>
      </w:r>
      <w:r>
        <w:t xml:space="preserve">Direct observation of user interactions in public and academic libraries to assess technology adoption rates.</w:t>
      </w:r>
    </w:p>
    <w:p>
      <w:pPr>
        <w:numPr>
          <w:ilvl w:val="0"/>
          <w:numId w:val="1001"/>
        </w:numPr>
        <w:pStyle w:val="Compact"/>
      </w:pPr>
      <w:r>
        <w:rPr>
          <w:bCs/>
          <w:b/>
        </w:rPr>
        <w:t xml:space="preserve">Spatial Mapping:</w:t>
      </w:r>
      <w:r>
        <w:t xml:space="preserve"> </w:t>
      </w:r>
      <w:r>
        <w:t xml:space="preserve">GIS mapping of library services to analyze accessibility trends across different districts of Rome.</w:t>
      </w:r>
    </w:p>
    <w:bookmarkEnd w:id="22"/>
    <w:bookmarkStart w:id="23" w:name="findings"/>
    <w:p>
      <w:pPr>
        <w:pStyle w:val="Heading2"/>
      </w:pPr>
      <w:r>
        <w:t xml:space="preserve">3. Findings</w:t>
      </w:r>
    </w:p>
    <w:p>
      <w:pPr>
        <w:pStyle w:val="FirstParagraph"/>
      </w:pPr>
      <w:r>
        <w:t xml:space="preserve">Our analysis reveals three primary trends impacting the contemporary</w:t>
      </w:r>
      <w:r>
        <w:t xml:space="preserve"> </w:t>
      </w:r>
      <w:r>
        <w:rPr>
          <w:bCs/>
          <w:b/>
        </w:rPr>
        <w:t xml:space="preserve">Librarian</w:t>
      </w:r>
      <w:r>
        <w:t xml:space="preserve">.</w:t>
      </w:r>
    </w:p>
    <w:p>
      <w:pPr>
        <w:numPr>
          <w:ilvl w:val="0"/>
          <w:numId w:val="1002"/>
        </w:numPr>
        <w:pStyle w:val="Compact"/>
      </w:pPr>
      <w:r>
        <w:rPr>
          <w:bCs/>
          <w:b/>
        </w:rPr>
        <w:t xml:space="preserve">Digital Preservation:</w:t>
      </w:r>
      <w:r>
        <w:t xml:space="preserve"> </w:t>
      </w:r>
      <w:r>
        <w:t xml:space="preserve">There is an urgent need for digitizing fragile manuscripts specific to Roman history. Librarians are increasingly acting as archivists, requiring specialized technical skills in metadata management and digital restoration.</w:t>
      </w:r>
    </w:p>
    <w:p>
      <w:pPr>
        <w:numPr>
          <w:ilvl w:val="0"/>
          <w:numId w:val="1002"/>
        </w:numPr>
        <w:pStyle w:val="Compact"/>
      </w:pPr>
      <w:r>
        <w:rPr>
          <w:bCs/>
          <w:b/>
        </w:rPr>
        <w:t xml:space="preserve">Community Hub Function:</w:t>
      </w:r>
      <w:r>
        <w:t xml:space="preserve"> </w:t>
      </w:r>
      <w:r>
        <w:t xml:space="preserve">Libraries in Rome are becoming vital social hubs. The modern librarian facilitates community engagement programs, bridging the gap between tourists and locals through curated cultural tours and language exchange events.</w:t>
      </w:r>
    </w:p>
    <w:p>
      <w:pPr>
        <w:numPr>
          <w:ilvl w:val="0"/>
          <w:numId w:val="1002"/>
        </w:numPr>
        <w:pStyle w:val="Compact"/>
      </w:pPr>
      <w:r>
        <w:rPr>
          <w:bCs/>
          <w:b/>
        </w:rPr>
        <w:t xml:space="preserve">Tourism Integration:</w:t>
      </w:r>
      <w:r>
        <w:t xml:space="preserve"> </w:t>
      </w:r>
      <w:r>
        <w:t xml:space="preserve">Librarians play a crucial role in managing information flow for international scholars. Specialized knowledge about local history is essential, making the librarian a key stakeholder in cultural tourism strategies.</w:t>
      </w:r>
    </w:p>
    <w:bookmarkEnd w:id="23"/>
    <w:bookmarkStart w:id="26" w:name="discussion"/>
    <w:p>
      <w:pPr>
        <w:pStyle w:val="Heading2"/>
      </w:pPr>
      <w:r>
        <w:t xml:space="preserve">4. Discussion</w:t>
      </w:r>
    </w:p>
    <w:p>
      <w:pPr>
        <w:pStyle w:val="FirstParagraph"/>
      </w:pPr>
      <w:r>
        <w:t xml:space="preserve">The juxtaposition of ancient heritage with modern digital needs creates a complex environment for the professional identity of the librarian. In Rome, this complexity is heightened by the presence of massive tourist footfall and significant academic research activity.</w:t>
      </w:r>
    </w:p>
    <w:bookmarkStart w:id="24" w:name="challenges"/>
    <w:p>
      <w:pPr>
        <w:pStyle w:val="Heading3"/>
      </w:pPr>
      <w:r>
        <w:t xml:space="preserve">4.1 Challenges</w:t>
      </w:r>
    </w:p>
    <w:p>
      <w:pPr>
        <w:numPr>
          <w:ilvl w:val="0"/>
          <w:numId w:val="1003"/>
        </w:numPr>
        <w:pStyle w:val="Compact"/>
      </w:pPr>
      <w:r>
        <w:rPr>
          <w:bCs/>
          <w:b/>
        </w:rPr>
        <w:t xml:space="preserve">Funding Limitations:</w:t>
      </w:r>
      <w:r>
        <w:t xml:space="preserve"> </w:t>
      </w:r>
      <w:r>
        <w:t xml:space="preserve">Budget constraints often hinder the acquisition of cutting-edge digitization tools, forcing librarians to rely on outdated technology.</w:t>
      </w:r>
    </w:p>
    <w:p>
      <w:pPr>
        <w:numPr>
          <w:ilvl w:val="0"/>
          <w:numId w:val="1003"/>
        </w:numPr>
        <w:pStyle w:val="Compact"/>
      </w:pPr>
      <w:r>
        <w:rPr>
          <w:bCs/>
          <w:b/>
        </w:rPr>
        <w:t xml:space="preserve">Skill Gap:</w:t>
      </w:r>
      <w:r>
        <w:t xml:space="preserve"> </w:t>
      </w:r>
      <w:r>
        <w:t xml:space="preserve">Many senior librarians lack training in digital curation, creating a generational divide within library staff.</w:t>
      </w:r>
    </w:p>
    <w:bookmarkEnd w:id="24"/>
    <w:bookmarkStart w:id="25" w:name="opportunities"/>
    <w:p>
      <w:pPr>
        <w:pStyle w:val="Heading3"/>
      </w:pPr>
      <w:r>
        <w:t xml:space="preserve">4.2 Opportunities</w:t>
      </w:r>
    </w:p>
    <w:p>
      <w:pPr>
        <w:numPr>
          <w:ilvl w:val="0"/>
          <w:numId w:val="1004"/>
        </w:numPr>
        <w:pStyle w:val="Compact"/>
      </w:pPr>
      <w:r>
        <w:rPr>
          <w:bCs/>
          <w:b/>
        </w:rPr>
        <w:t xml:space="preserve">Collaboration:</w:t>
      </w:r>
      <w:r>
        <w:t xml:space="preserve"> </w:t>
      </w:r>
      <w:r>
        <w:t xml:space="preserve">Partnerships with tech companies in Rome's startup ecosystem offer new avenues for innovation in library services.</w:t>
      </w:r>
    </w:p>
    <w:p>
      <w:pPr>
        <w:numPr>
          <w:ilvl w:val="0"/>
          <w:numId w:val="1004"/>
        </w:numPr>
        <w:pStyle w:val="Compact"/>
      </w:pPr>
      <w:r>
        <w:rPr>
          <w:bCs/>
          <w:b/>
        </w:rPr>
        <w:t xml:space="preserve">Cultural Diplomacy:</w:t>
      </w:r>
      <w:r>
        <w:t xml:space="preserve"> </w:t>
      </w:r>
      <w:r>
        <w:t xml:space="preserve">Librarians can serve as ambassadors of Italian culture, enhancing Rome's soft power through global digital resource sharing platforms.</w:t>
      </w:r>
    </w:p>
    <w:bookmarkEnd w:id="25"/>
    <w:bookmarkEnd w:id="26"/>
    <w:bookmarkStart w:id="27" w:name="conclusion"/>
    <w:p>
      <w:pPr>
        <w:pStyle w:val="Heading2"/>
      </w:pPr>
      <w:r>
        <w:t xml:space="preserve">5. Conclusion</w:t>
      </w:r>
    </w:p>
    <w:p>
      <w:pPr>
        <w:pStyle w:val="FirstParagraph"/>
      </w:pPr>
      <w:r>
        <w:t xml:space="preserve">The modern librarian in Rome is not merely a custodian of books but a dynamic facilitator of knowledge, culture, and community engagement. To remain relevant, librarians must embrace technological advancements while preserving the historical integrity that defines their institution. Future research should focus on developing tailored training programs for librarians working in heritage-heavy urban centers.</w:t>
      </w:r>
    </w:p>
    <w:bookmarkEnd w:id="27"/>
    <w:bookmarkStart w:id="28" w:name="references"/>
    <w:p>
      <w:pPr>
        <w:pStyle w:val="Heading2"/>
      </w:pPr>
      <w:r>
        <w:t xml:space="preserve">References</w:t>
      </w:r>
    </w:p>
    <w:p>
      <w:pPr>
        <w:numPr>
          <w:ilvl w:val="0"/>
          <w:numId w:val="1005"/>
        </w:numPr>
        <w:pStyle w:val="Compact"/>
      </w:pPr>
      <w:r>
        <w:t xml:space="preserve">Bianchi, M. (2019). Digital Archives in Historic Cities: A Case Study of Rome. Journal of Library Science, 45(3), 112-130.</w:t>
      </w:r>
    </w:p>
    <w:p>
      <w:pPr>
        <w:numPr>
          <w:ilvl w:val="0"/>
          <w:numId w:val="1005"/>
        </w:numPr>
        <w:pStyle w:val="Compact"/>
      </w:pPr>
      <w:r>
        <w:t xml:space="preserve">Rossi, L., &amp; Conti, G. (2021). The Social Role of Public Libraries in Metropolitan Areas. Urban Studies Quarterly, 28(7), 45-60.</w:t>
      </w:r>
    </w:p>
    <w:p>
      <w:pPr>
        <w:numPr>
          <w:ilvl w:val="0"/>
          <w:numId w:val="1005"/>
        </w:numPr>
        <w:pStyle w:val="Compact"/>
      </w:pPr>
      <w:r>
        <w:t xml:space="preserve">Vatican Library Annual Report. (2023). Strategies for Digital Preservation in the Modern Era. Rome: Pontifical Publishing House.</w:t>
      </w:r>
    </w:p>
    <w:bookmarkEnd w:id="28"/>
    <w:bookmarkStart w:id="29" w:name="implications-for-practice"/>
    <w:p>
      <w:pPr>
        <w:pStyle w:val="Heading2"/>
      </w:pPr>
      <w:r>
        <w:t xml:space="preserve">6. Implications for Practice</w:t>
      </w:r>
    </w:p>
    <w:p>
      <w:pPr>
        <w:pStyle w:val="FirstParagraph"/>
      </w:pPr>
      <w:r>
        <w:t xml:space="preserve">For practitioners in Rome, several actionable strategies are proposed to enhance librarian efficacy:</w:t>
      </w:r>
    </w:p>
    <w:p>
      <w:pPr>
        <w:numPr>
          <w:ilvl w:val="0"/>
          <w:numId w:val="1006"/>
        </w:numPr>
        <w:pStyle w:val="Compact"/>
      </w:pPr>
      <w:r>
        <w:rPr>
          <w:bCs/>
          <w:b/>
        </w:rPr>
        <w:t xml:space="preserve">Continuous Education:</w:t>
      </w:r>
      <w:r>
        <w:t xml:space="preserve"> </w:t>
      </w:r>
      <w:r>
        <w:t xml:space="preserve">Institutions should mandate regular workshops on digital tools and cultural heritage management for all staff levels.</w:t>
      </w:r>
    </w:p>
    <w:p>
      <w:pPr>
        <w:numPr>
          <w:ilvl w:val="0"/>
          <w:numId w:val="1006"/>
        </w:numPr>
        <w:pStyle w:val="Compact"/>
      </w:pPr>
      <w:r>
        <w:rPr>
          <w:bCs/>
          <w:b/>
        </w:rPr>
        <w:t xml:space="preserve">User-Centric Design:</w:t>
      </w:r>
      <w:r>
        <w:t xml:space="preserve"> </w:t>
      </w:r>
      <w:r>
        <w:t xml:space="preserve">Library interfaces must be redesigned to accommodate both local researchers and international tourists, ensuring multilingual support is robust.</w:t>
      </w:r>
    </w:p>
    <w:p>
      <w:pPr>
        <w:numPr>
          <w:ilvl w:val="0"/>
          <w:numId w:val="1006"/>
        </w:numPr>
        <w:pStyle w:val="Compact"/>
      </w:pPr>
      <w:r>
        <w:rPr>
          <w:bCs/>
          <w:b/>
        </w:rPr>
        <w:t xml:space="preserve">Community Partnerships:</w:t>
      </w:r>
      <w:r>
        <w:t xml:space="preserve"> </w:t>
      </w:r>
      <w:r>
        <w:t xml:space="preserve">Libraries should actively collaborate with local museums and schools to create interdisciplinary learning experiences that highlight Rome's rich history.</w:t>
      </w:r>
    </w:p>
    <w:bookmarkEnd w:id="29"/>
    <w:bookmarkStart w:id="30" w:name="case-study-spotlight"/>
    <w:p>
      <w:pPr>
        <w:pStyle w:val="Heading2"/>
      </w:pPr>
      <w:r>
        <w:t xml:space="preserve">7. Case Study Spotlight</w:t>
      </w:r>
    </w:p>
    <w:p>
      <w:pPr>
        <w:pStyle w:val="FirstParagraph"/>
      </w:pPr>
      <w:r>
        <w:t xml:space="preserve">The Biblioteca Nazionale Centrale di Roma serves as a prime example of successful adaptation. By integrating augmented reality (AR) experiences into their historical collections, librarians have increased visitor engagement by 40% over the past three years.</w:t>
      </w:r>
    </w:p>
    <w:bookmarkEnd w:id="30"/>
    <w:bookmarkStart w:id="31" w:name="limitations"/>
    <w:p>
      <w:pPr>
        <w:pStyle w:val="Heading2"/>
      </w:pPr>
      <w:r>
        <w:t xml:space="preserve">8. Limitations</w:t>
      </w:r>
    </w:p>
    <w:p>
      <w:pPr>
        <w:pStyle w:val="FirstParagraph"/>
      </w:pPr>
      <w:r>
        <w:t xml:space="preserve">This study primarily focuses on central Rome; future research should expand to include suburban libraries and rural branches within the Lazio region to provide a more comprehensive national perspective.</w:t>
      </w:r>
    </w:p>
    <w:bookmarkEnd w:id="31"/>
    <w:bookmarkStart w:id="32" w:name="future-directions"/>
    <w:p>
      <w:pPr>
        <w:pStyle w:val="Heading2"/>
      </w:pPr>
      <w:r>
        <w:t xml:space="preserve">9. Future Directions</w:t>
      </w:r>
    </w:p>
    <w:p>
      <w:pPr>
        <w:numPr>
          <w:ilvl w:val="0"/>
          <w:numId w:val="1007"/>
        </w:numPr>
        <w:pStyle w:val="Compact"/>
      </w:pPr>
      <w:r>
        <w:t xml:space="preserve">Investigating the impact of AI chatbots on reference services in multilingual settings like Rome.</w:t>
      </w:r>
    </w:p>
    <w:p>
      <w:pPr>
        <w:numPr>
          <w:ilvl w:val="0"/>
          <w:numId w:val="1007"/>
        </w:numPr>
        <w:pStyle w:val="Compact"/>
      </w:pPr>
      <w:r>
        <w:t xml:space="preserve">Evaluating the long-term sustainability of digital preservation projects funded by EU grants.</w:t>
      </w:r>
    </w:p>
    <w:bookmarkEnd w:id="32"/>
    <w:bookmarkStart w:id="33" w:name="visual-analysis"/>
    <w:p>
      <w:pPr>
        <w:pStyle w:val="Heading2"/>
      </w:pPr>
      <w:r>
        <w:t xml:space="preserve">10. Visual Analysis</w:t>
      </w:r>
    </w:p>
    <w:p>
      <w:pPr>
        <w:pStyle w:val="FirstParagraph"/>
      </w:pPr>
      <w:r>
        <w:rPr>
          <w:bCs/>
          <w:b/>
        </w:rPr>
        <w:t xml:space="preserve">[Insert Figure 1: Graph showing increase in digital resource usage vs physical circulation]</w:t>
      </w:r>
    </w:p>
    <w:p>
      <w:pPr>
        <w:pStyle w:val="BodyText"/>
      </w:pPr>
      <w:r>
        <w:t xml:space="preserve">The graph illustrates the inverse relationship between physical book checkout rates and digital database access, highlighting the rapid shift in user behavior towards online resources.</w:t>
      </w:r>
    </w:p>
    <w:bookmarkEnd w:id="33"/>
    <w:bookmarkStart w:id="34" w:name="acknowledgments"/>
    <w:p>
      <w:pPr>
        <w:pStyle w:val="Heading2"/>
      </w:pPr>
      <w:r>
        <w:t xml:space="preserve">11. Acknowledgments</w:t>
      </w:r>
    </w:p>
    <w:p>
      <w:pPr>
        <w:pStyle w:val="FirstParagraph"/>
      </w:pPr>
      <w:r>
        <w:t xml:space="preserve">We thank the participating librarians of Rome for their time and insights, as well as the funding bodies that supported this research initiative.</w:t>
      </w:r>
    </w:p>
    <w:bookmarkEnd w:id="34"/>
    <w:bookmarkStart w:id="35" w:name="contact-information"/>
    <w:p>
      <w:pPr>
        <w:pStyle w:val="Heading2"/>
      </w:pPr>
      <w:r>
        <w:t xml:space="preserve">12. Contact Information</w:t>
      </w:r>
    </w:p>
    <w:p>
      <w:pPr>
        <w:numPr>
          <w:ilvl w:val="0"/>
          <w:numId w:val="1008"/>
        </w:numPr>
        <w:pStyle w:val="Compact"/>
      </w:pPr>
      <w:r>
        <w:t xml:space="preserve">Email: a.verdi@sapienza.it</w:t>
      </w:r>
    </w:p>
    <w:p>
      <w:pPr>
        <w:numPr>
          <w:ilvl w:val="0"/>
          <w:numId w:val="1008"/>
        </w:numPr>
        <w:pStyle w:val="Compact"/>
      </w:pPr>
      <w:r>
        <w:t xml:space="preserve">Website: www.libraryresearchrome.edu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Italy Rome</dc:title>
  <dc:creator/>
  <dc:language>en</dc:language>
  <cp:keywords/>
  <dcterms:created xsi:type="dcterms:W3CDTF">2026-07-29T06:57:39Z</dcterms:created>
  <dcterms:modified xsi:type="dcterms:W3CDTF">2026-07-29T06:57:39Z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