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Guangzhou,</w:t>
      </w:r>
      <w:r>
        <w:t xml:space="preserve"> </w:t>
      </w:r>
      <w:r>
        <w:t xml:space="preserve">China</w:t>
      </w:r>
    </w:p>
    <w:p>
      <w:pPr>
        <w:pStyle w:val="FirstParagraph"/>
      </w:pPr>
      <w:r>
        <w:t xml:space="preserve">```html</w:t>
      </w:r>
    </w:p>
    <w:bookmarkStart w:id="29" w:name="X7456f88338b7896accf700bd90dd111d58d8a8e"/>
    <w:p>
      <w:pPr>
        <w:pStyle w:val="Heading1"/>
      </w:pPr>
      <w:r>
        <w:t xml:space="preserve">Sustainable Propulsion Systems and Autonomous Operations in Modern Marine Engineering</w:t>
      </w:r>
    </w:p>
    <w:p>
      <w:pPr>
        <w:pStyle w:val="FirstParagraph"/>
      </w:pPr>
      <w:r>
        <w:rPr>
          <w:bCs/>
          <w:b/>
        </w:rPr>
        <w:t xml:space="preserve">Presentation Title:</w:t>
      </w:r>
      <w:r>
        <w:t xml:space="preserve">A Comparative Analysis of Methanol-Fueled Engines vs. Battery-Electric Hybrid Systems for Coastal Vessels Operating in the Pearl River Delta.</w:t>
      </w:r>
    </w:p>
    <w:p>
      <w:pPr>
        <w:pStyle w:val="BodyText"/>
      </w:pPr>
      <w:r>
        <w:rPr>
          <w:bCs/>
          <w:b/>
        </w:rPr>
        <w:t xml:space="preserve">Presented At:</w:t>
      </w:r>
      <w:r>
        <w:t xml:space="preserve">The International Maritime Innovation Summit</w:t>
      </w:r>
    </w:p>
    <w:p>
      <w:pPr>
        <w:pStyle w:val="BodyText"/>
      </w:pPr>
      <w:r>
        <w:rPr>
          <w:bCs/>
          <w:b/>
        </w:rPr>
        <w:t xml:space="preserve">Location:</w:t>
      </w:r>
      <w:r>
        <w:t xml:space="preserve">Guangzhou, China (China Guangzhou Convention &amp; Exhibition Center)</w:t>
      </w:r>
    </w:p>
    <w:p>
      <w:r>
        <w:pict>
          <v:rect style="width:0;height:1.5pt" o:hralign="center" o:hrstd="t" o:hr="t"/>
        </w:pict>
      </w:r>
    </w:p>
    <w:bookmarkStart w:id="20" w:name="abstract"/>
    <w:p>
      <w:pPr>
        <w:pStyle w:val="Heading3"/>
      </w:pPr>
      <w:r>
        <w:t xml:space="preserve">Abstract</w:t>
      </w:r>
    </w:p>
    <w:p>
      <w:pPr>
        <w:pStyle w:val="FirstParagraph"/>
      </w:pPr>
      <w:r>
        <w:t xml:space="preserve">As maritime regulations tighten under the International Maritime Organization (IMO) 2030 and 2050 decarbonization targets, the role of the Marine Engineer has shifted from mechanical maintenance to holistic energy system management. This presentation explores two emerging propulsion technologies: dual-fuel methanol engines and high-capacity battery-electric hybrid systems. Focusing on the unique operational environment of</w:t>
      </w:r>
      <w:r>
        <w:t xml:space="preserve"> </w:t>
      </w:r>
      <w:r>
        <w:rPr>
          <w:bCs/>
          <w:b/>
        </w:rPr>
        <w:t xml:space="preserve">China Guangzhou</w:t>
      </w:r>
      <w:r>
        <w:t xml:space="preserve">, this study evaluates efficiency, fuel availability, and infrastructure readiness. The findings suggest that while battery-electric systems offer zero-emission potential for short-sea shipping within the Pearl River Estuary, methanol offers a scalable transition solution for larger vessels connecting to global trade routes. This poster aims to provide actionable insights for</w:t>
      </w:r>
      <w:r>
        <w:t xml:space="preserve"> </w:t>
      </w:r>
      <w:r>
        <w:rPr>
          <w:bCs/>
          <w:b/>
        </w:rPr>
        <w:t xml:space="preserve">Marine Engineers</w:t>
      </w:r>
      <w:r>
        <w:t xml:space="preserve"> </w:t>
      </w:r>
      <w:r>
        <w:t xml:space="preserve">working in the rapidly developing industrial hub of southern China.</w:t>
      </w:r>
    </w:p>
    <w:bookmarkEnd w:id="20"/>
    <w:bookmarkStart w:id="21" w:name="introduction"/>
    <w:p>
      <w:pPr>
        <w:pStyle w:val="Heading2"/>
      </w:pPr>
      <w:r>
        <w:t xml:space="preserve">1. Introduction</w:t>
      </w:r>
    </w:p>
    <w:p>
      <w:pPr>
        <w:pStyle w:val="FirstParagraph"/>
      </w:pPr>
      <w:r>
        <w:t xml:space="preserve">The maritime industry stands at a critical juncture, balancing economic necessity with environmental stewardship. In</w:t>
      </w:r>
      <w:r>
        <w:t xml:space="preserve"> </w:t>
      </w:r>
      <w:r>
        <w:rPr>
          <w:bCs/>
          <w:b/>
        </w:rPr>
        <w:t xml:space="preserve">China Guangzhou</w:t>
      </w:r>
      <w:r>
        <w:t xml:space="preserve">, a pivotal port city and industrial powerhouse, the demand for efficient logistics and sustainable shipping practices is paramount. Marine Engineers are tasked with navigating this transition, selecting propulsion technologies that meet both regulatory compliance and operational efficiency standards.</w:t>
      </w:r>
    </w:p>
    <w:p>
      <w:pPr>
        <w:pStyle w:val="BodyText"/>
      </w:pPr>
      <w:r>
        <w:t xml:space="preserve">Guangzhou's proximity to the Pearl River Delta economic zone means heavy traffic of inland waterway vessels transitioning to sea-going ships. This specific geographic context requires tailored engineering solutions rather than generic global applications.</w:t>
      </w:r>
    </w:p>
    <w:bookmarkEnd w:id="21"/>
    <w:bookmarkStart w:id="22" w:name="technical-framework"/>
    <w:p>
      <w:pPr>
        <w:pStyle w:val="Heading2"/>
      </w:pPr>
      <w:r>
        <w:t xml:space="preserve">2. Technical Framework</w:t>
      </w:r>
    </w:p>
    <w:p>
      <w:pPr>
        <w:pStyle w:val="FirstParagraph"/>
      </w:pPr>
      <w:r>
        <w:rPr>
          <w:bCs/>
          <w:b/>
        </w:rPr>
        <w:t xml:space="preserve">A. Methanol-Fueled Dual-Fuel Engines:</w:t>
      </w:r>
      <w:r>
        <w:t xml:space="preserve">Methanol has emerged as a leading alternative fuel due to its existing infrastructure compatibility and carbon-reduction potential of up to 95% when produced via renewable pathways (green methanol). Marine Engineers must understand the material compatibility issues, specifically regarding corrosion and seal degradation.</w:t>
      </w:r>
    </w:p>
    <w:p>
      <w:pPr>
        <w:pStyle w:val="BodyText"/>
      </w:pPr>
      <w:r>
        <w:rPr>
          <w:bCs/>
          <w:b/>
        </w:rPr>
        <w:t xml:space="preserve">B. Battery-Electric Hybrids:</w:t>
      </w:r>
      <w:r>
        <w:t xml:space="preserve">Lithium-ion battery systems offer high efficiency and zero local emissions. However, energy density limits their use primarily to shorter durations or hybrid operations where diesel generators provide peak shaving or backup power.</w:t>
      </w:r>
    </w:p>
    <w:bookmarkEnd w:id="22"/>
    <w:bookmarkStart w:id="23" w:name="the-guangzhou-context"/>
    <w:p>
      <w:pPr>
        <w:pStyle w:val="Heading2"/>
      </w:pPr>
      <w:r>
        <w:t xml:space="preserve">3. The Guangzhou Context</w:t>
      </w:r>
    </w:p>
    <w:p>
      <w:pPr>
        <w:pStyle w:val="FirstParagraph"/>
      </w:pPr>
      <w:r>
        <w:t xml:space="preserve">Analyzing the deployment of these technologies in</w:t>
      </w:r>
      <w:r>
        <w:t xml:space="preserve"> </w:t>
      </w:r>
      <w:r>
        <w:rPr>
          <w:bCs/>
          <w:b/>
        </w:rPr>
        <w:t xml:space="preserve">China Guangzhou</w:t>
      </w:r>
      <w:r>
        <w:t xml:space="preserve"> </w:t>
      </w:r>
      <w:r>
        <w:t xml:space="preserve">requires a localized approach.</w:t>
      </w:r>
    </w:p>
    <w:p>
      <w:pPr>
        <w:numPr>
          <w:ilvl w:val="0"/>
          <w:numId w:val="1001"/>
        </w:numPr>
        <w:pStyle w:val="Compact"/>
      </w:pPr>
      <w:r>
        <w:rPr>
          <w:bCs/>
          <w:b/>
        </w:rPr>
        <w:t xml:space="preserve">Fuel Infrastructure:</w:t>
      </w:r>
      <w:r>
        <w:t xml:space="preserve"> </w:t>
      </w:r>
      <w:r>
        <w:t xml:space="preserve">Guangzhou port is actively expanding its bunkering capabilities for methanol, driven by Chinese state-owned enterprises aiming to lead in green shipping.</w:t>
      </w:r>
    </w:p>
    <w:p>
      <w:pPr>
        <w:numPr>
          <w:ilvl w:val="0"/>
          <w:numId w:val="1001"/>
        </w:numPr>
        <w:pStyle w:val="Compact"/>
      </w:pPr>
      <w:r>
        <w:rPr>
          <w:bCs/>
          <w:b/>
        </w:rPr>
        <w:t xml:space="preserve">Cargo Types:</w:t>
      </w:r>
      <w:r>
        <w:t xml:space="preserve"> </w:t>
      </w:r>
      <w:r>
        <w:t xml:space="preserve">The region handles significant electronic goods and textiles, which are often high-value but lower bulk compared to coal or ore. This favors faster turnaround times supported by efficient electric auxiliary systems.</w:t>
      </w:r>
    </w:p>
    <w:p>
      <w:pPr>
        <w:numPr>
          <w:ilvl w:val="0"/>
          <w:numId w:val="1001"/>
        </w:numPr>
        <w:pStyle w:val="Compact"/>
      </w:pPr>
      <w:r>
        <w:rPr>
          <w:bCs/>
          <w:b/>
        </w:rPr>
        <w:t xml:space="preserve">Regulatory Environment:</w:t>
      </w:r>
      <w:r>
        <w:t xml:space="preserve">Tier III NOx emission controls are strictly enforced in the Pearl River Estuary, pushing operators toward advanced after-treatment systems or zero-emission alternatives.</w:t>
      </w:r>
    </w:p>
    <w:bookmarkEnd w:id="23"/>
    <w:bookmarkStart w:id="24" w:name="methodology"/>
    <w:p>
      <w:pPr>
        <w:pStyle w:val="Heading2"/>
      </w:pPr>
      <w:r>
        <w:t xml:space="preserve">4. Methodology</w:t>
      </w:r>
    </w:p>
    <w:p>
      <w:pPr>
        <w:pStyle w:val="FirstParagraph"/>
      </w:pPr>
      <w:r>
        <w:t xml:space="preserve">This study utilizes a Life Cycle Assessment (LCA) coupled with operational data simulation. Data was collected from three major shipping companies operating out of Nansha Port in Guangzhou over a six-month period.</w:t>
      </w:r>
    </w:p>
    <w:p>
      <w:pPr>
        <w:numPr>
          <w:ilvl w:val="0"/>
          <w:numId w:val="1002"/>
        </w:numPr>
        <w:pStyle w:val="Compact"/>
      </w:pPr>
      <w:r>
        <w:rPr>
          <w:bCs/>
          <w:b/>
        </w:rPr>
        <w:t xml:space="preserve">Data Collection:</w:t>
      </w:r>
      <w:r>
        <w:t xml:space="preserve"> </w:t>
      </w:r>
      <w:r>
        <w:t xml:space="preserve">Engine performance logs, fuel consumption rates, and maintenance frequency records.</w:t>
      </w:r>
    </w:p>
    <w:p>
      <w:pPr>
        <w:numPr>
          <w:ilvl w:val="0"/>
          <w:numId w:val="1002"/>
        </w:numPr>
        <w:pStyle w:val="Compact"/>
      </w:pPr>
      <w:r>
        <w:rPr>
          <w:bCs/>
          <w:b/>
        </w:rPr>
        <w:t xml:space="preserve">Simulation Models:</w:t>
      </w:r>
      <w:r>
        <w:t xml:space="preserve"> </w:t>
      </w:r>
      <w:r>
        <w:t xml:space="preserve">MATLAB-based simulations were used to model energy distribution in hybrid systems under varying load conditions typical of the Pearl River Delta traffic.</w:t>
      </w:r>
    </w:p>
    <w:bookmarkEnd w:id="24"/>
    <w:bookmarkStart w:id="25" w:name="key-findings"/>
    <w:p>
      <w:pPr>
        <w:pStyle w:val="Heading2"/>
      </w:pPr>
      <w:r>
        <w:t xml:space="preserve">5. Key Findings</w:t>
      </w:r>
    </w:p>
    <w:p>
      <w:pPr>
        <w:pStyle w:val="FirstParagraph"/>
      </w:pPr>
      <w:r>
        <w:t xml:space="preserve">The comparative analysis yielded significant insights for</w:t>
      </w:r>
      <w:r>
        <w:t xml:space="preserve"> </w:t>
      </w:r>
      <w:r>
        <w:rPr>
          <w:bCs/>
          <w:b/>
        </w:rPr>
        <w:t xml:space="preserve">Marine Engineers</w:t>
      </w:r>
      <w:r>
        <w:t xml:space="preserve">:</w:t>
      </w:r>
    </w:p>
    <w:p>
      <w:pPr>
        <w:numPr>
          <w:ilvl w:val="0"/>
          <w:numId w:val="1003"/>
        </w:numPr>
        <w:pStyle w:val="Compact"/>
      </w:pPr>
      <w:r>
        <w:rPr>
          <w:bCs/>
          <w:b/>
        </w:rPr>
        <w:t xml:space="preserve">Economic Viability:</w:t>
      </w:r>
      <w:r>
        <w:t xml:space="preserve">Methanol engines showed a higher initial capital expenditure (CAPEX) but lower operational expenditure (OPEX) over a 10-year horizon compared to traditional heavy fuel oil, provided green methanol prices remain stable.</w:t>
      </w:r>
    </w:p>
    <w:p>
      <w:pPr>
        <w:numPr>
          <w:ilvl w:val="0"/>
          <w:numId w:val="1003"/>
        </w:numPr>
        <w:pStyle w:val="Compact"/>
      </w:pPr>
      <w:r>
        <w:rPr>
          <w:bCs/>
          <w:b/>
        </w:rPr>
        <w:t xml:space="preserve">Operational Flexibility:</w:t>
      </w:r>
      <w:r>
        <w:t xml:space="preserve">Battery-electric hybrids excelled in port maneuvers and low-speed cruising within the Guangzhou waterways, reducing noise pollution and vibration significantly.</w:t>
      </w:r>
    </w:p>
    <w:p>
      <w:pPr>
        <w:numPr>
          <w:ilvl w:val="0"/>
          <w:numId w:val="1003"/>
        </w:numPr>
        <w:pStyle w:val="Compact"/>
      </w:pPr>
      <w:r>
        <w:t xml:space="preserve">Maintenance Burden:Simplified mechanical structures in electric drives reduced routine maintenance hours by approximately 15%, a crucial factor for crew retention in the current labor market.</w:t>
      </w:r>
    </w:p>
    <w:bookmarkEnd w:id="25"/>
    <w:bookmarkStart w:id="26" w:name="challenges-opportunities"/>
    <w:p>
      <w:pPr>
        <w:pStyle w:val="Heading2"/>
      </w:pPr>
      <w:r>
        <w:t xml:space="preserve">6. Challenges &amp; Opportunities</w:t>
      </w:r>
    </w:p>
    <w:p>
      <w:pPr>
        <w:pStyle w:val="FirstParagraph"/>
      </w:pPr>
      <w:r>
        <w:t xml:space="preserve">Despite the benefits, challenges remain. For</w:t>
      </w:r>
      <w:r>
        <w:t xml:space="preserve"> </w:t>
      </w:r>
      <w:r>
        <w:rPr>
          <w:bCs/>
          <w:b/>
        </w:rPr>
        <w:t xml:space="preserve">China Guangzhou</w:t>
      </w:r>
      <w:r>
        <w:t xml:space="preserve">, the primary hurdle is supply chain security for green hydrogen required to produce e-methanol and charge batteries locally. Furthermore, Marine Engineers require specialized training in high-voltage safety and chemical handling for methanol systems.</w:t>
      </w:r>
    </w:p>
    <w:p>
      <w:pPr>
        <w:pStyle w:val="BodyText"/>
      </w:pPr>
      <w:r>
        <w:t xml:space="preserve">The opportunity lies in public-private partnerships between local universities in Guangzhou (such as Sun Yat-sen University) and shipping firms to create tailored engineering curricula.</w:t>
      </w:r>
    </w:p>
    <w:bookmarkEnd w:id="26"/>
    <w:bookmarkStart w:id="27" w:name="conclusion"/>
    <w:p>
      <w:pPr>
        <w:pStyle w:val="Heading2"/>
      </w:pPr>
      <w:r>
        <w:t xml:space="preserve">7. Conclusion</w:t>
      </w:r>
    </w:p>
    <w:p>
      <w:pPr>
        <w:pStyle w:val="FirstParagraph"/>
      </w:pPr>
      <w:r>
        <w:t xml:space="preserve">The transition to sustainable propulsion is not merely a regulatory obligation but an engineering imperative. For Marine Engineers operating in the dynamic environment of</w:t>
      </w:r>
      <w:r>
        <w:t xml:space="preserve"> </w:t>
      </w:r>
      <w:r>
        <w:rPr>
          <w:bCs/>
          <w:b/>
        </w:rPr>
        <w:t xml:space="preserve">China Guangzhou</w:t>
      </w:r>
      <w:r>
        <w:t xml:space="preserve">, a hybrid approach may be most prudent: utilizing battery-electric systems for local, short-distance transport and methanol engines for longer hauls. Continued investment in infrastructure and human capital will determine the speed of this transition.</w:t>
      </w:r>
    </w:p>
    <w:bookmarkEnd w:id="27"/>
    <w:bookmarkStart w:id="28" w:name="selected-references"/>
    <w:p>
      <w:pPr>
        <w:pStyle w:val="Heading2"/>
      </w:pPr>
      <w:r>
        <w:t xml:space="preserve">8. Selected References</w:t>
      </w:r>
    </w:p>
    <w:p>
      <w:pPr>
        <w:numPr>
          <w:ilvl w:val="0"/>
          <w:numId w:val="1004"/>
        </w:numPr>
        <w:pStyle w:val="Compact"/>
      </w:pPr>
      <w:r>
        <w:t xml:space="preserve">IMO (2023). Fourth IMO GHG Study.</w:t>
      </w:r>
    </w:p>
    <w:p>
      <w:pPr>
        <w:numPr>
          <w:ilvl w:val="0"/>
          <w:numId w:val="1004"/>
        </w:numPr>
        <w:pStyle w:val="Compact"/>
      </w:pPr>
      <w:r>
        <w:t xml:space="preserve">Pearl River Delta Port Authority (2024). Annual Green Logistics Report.</w:t>
      </w:r>
    </w:p>
    <w:p>
      <w:pPr>
        <w:numPr>
          <w:ilvl w:val="0"/>
          <w:numId w:val="1004"/>
        </w:numPr>
        <w:pStyle w:val="Compact"/>
      </w:pPr>
      <w:r>
        <w:t xml:space="preserve">Zhang, L., &amp; Wang, Y. (2023). "Methanol as a Bridge Fuel in Chinese Coastal Shipping." Journal of Marine Engineering.</w:t>
      </w:r>
    </w:p>
    <w:bookmarkEnd w:id="28"/>
    <w:p>
      <w:pPr>
        <w:pStyle w:val="FirstParagraph"/>
      </w:pPr>
      <w:r>
        <w:t xml:space="preserve">Contact: Dr. Alex Chen | Email: alex.chen@marine-eng-gz.cn | QR Code for Full Paper Access</w:t>
      </w:r>
    </w:p>
    <w:p>
      <w:pPr>
        <w:pStyle w:val="BodyText"/>
      </w:pPr>
      <w:r>
        <w:t xml:space="preserve">© 2024 Guangzhou Marine Engineering Symposium. All rights reserved.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 Guangzhou, China</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