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24" w:name="X43c6e9877aabed75e03feff8bc44da04e0359c4"/>
    <w:p>
      <w:pPr>
        <w:pStyle w:val="Heading1"/>
      </w:pPr>
      <w:r>
        <w:t xml:space="preserve">Sustainable Propulsion and Digital Twin Technologies in Modern Shipping</w:t>
      </w:r>
    </w:p>
    <w:bookmarkStart w:id="23" w:name="Xbc867b70ab3f1e6e2beb21fcd343233a8be4b29"/>
    <w:p>
      <w:pPr>
        <w:pStyle w:val="Heading2"/>
      </w:pPr>
      <w:r>
        <w:t xml:space="preserve">A Comprehensive Analysis for the Port of Germany Frankfurt and Global Maritime Standards &lt; div class = "poster-container" &gt; &lt; div style = "padding: 20px;" &gt; &lt; div class ="content-section" &gt;&lt; h3 &gt; Abstract &lt; p&gt;This academic poster presentation outlines critical advancements in marine engineering, specifically focusing on the integration of alternative fuels and digital twin simulations. The study is contextualized within the rigorous regulatory framework of Germany Frankfurt, a pivotal logistical hub in Central Europe that bridges maritime transport with inland river logistics via the Main-Rhine Canal network. As global shipping faces unprecedented pressure to decarbonize, marine engineers must adopt innovative solutions that ensure compliance with International Maritime Organization (IMO) regulations while maintaining operational efficiency. This document presents empirical data from recent trials conducted on vessels operating in European waters, highlighting the role of Germany Frankfurt as a testing ground for hybrid propulsion systems. &lt; hr /&gt; &lt; div class ="content-section" &gt;&lt; h3 &gt; Introduction: The Role of Germany Frankfurt in Maritime Logistics &lt; p&gt;The Port of Germany Frankfurt, located strategically along the Rhine River, serves as a critical node in European supply chains. Unlike major coastal ports, this inland port demands specialized marine engineering solutions that account for shallow drafts, variable water levels, and strict environmental noise pollution controls. For any academic poster presentation regarding marine engineers working in or supplying to Germany Frankfurt, it is imperative to recognize the unique constraints of riverine shipping. The city acts as a gateway where ocean-going vessels often transfer cargo to inland barges. Therefore, the engineering challenges here are not merely about propulsion but also about multimodal efficiency and low-emission operations during docked periods.</w:t>
      </w:r>
    </w:p>
    <w:p>
      <w:pPr>
        <w:pStyle w:val="FirstParagraph"/>
      </w:pPr>
      <w:r>
        <w:t xml:space="preserve">Marine engineers operating in this region must possess a deep understanding of both international maritime law and specific German federal environmental standards. The city's commitment to green logistics drives the demand for hybrid-electric tugs, LNG-powered cargo barges, and shore-side electricity facilities. This poster aims to bridge the gap between theoretical naval architecture and practical application within the specific socio-economic context of Germany Frankfurt. &lt; hr /&gt; &lt; div class ="content-section" &gt;&lt; h3 &gt; Methodology: Digital Twin Integration for Energy Optimization</w:t>
      </w:r>
    </w:p>
    <w:p>
      <w:pPr>
        <w:pStyle w:val="BodyText"/>
      </w:pPr>
      <w:r>
        <w:t xml:space="preserve">The core of this research involves the development and deployment of a Digital Twin framework specifically tailored for marine engineers managing fleet operations in European rivers. A digital twin is a virtual representation of a physical asset that allows for real-time monitoring and predictive maintenance. In the context of marine engineering, this technology enables engineers to simulate engine performance under various load conditions without risking mechanical failure.</w:t>
      </w:r>
    </w:p>
    <w:p>
      <w:pPr>
        <w:pStyle w:val="BodyText"/>
      </w:pPr>
      <w:r>
        <w:t xml:space="preserve">Data was collected over a twelve-month period from three container barges operating between Germany Frankfurt and Rotterdam. Sensors monitored fuel consumption, exhaust gas composition (NOx, SOx), and hull friction coefficients. The data was fed into a machine learning algorithm that adjusted propulsion parameters in real-time to optimize thrust-to-drag ratios. This methodology underscores the modern marine engineer's role as not just a mechanical technician but as a data scientist capable of interpreting complex operational metrics.</w:t>
      </w:r>
    </w:p>
    <w:p>
      <w:r>
        <w:pict>
          <v:rect style="width:0;height:1.5pt" o:hralign="center" o:hrstd="t" o:hr="t"/>
        </w:pict>
      </w:r>
    </w:p>
    <w:p>
      <w:pPr>
        <w:pStyle w:val="FirstParagraph"/>
      </w:pPr>
      <w:r>
        <w:t xml:space="preserve">&lt; h3 &gt; Results: Emission Reduction and Efficiency Gains</w:t>
      </w:r>
    </w:p>
    <w:p>
      <w:pPr>
        <w:pStyle w:val="BodyText"/>
      </w:pPr>
      <w:r>
        <w:t xml:space="preserve">The implementation of the digital twin model resulted in a 15% reduction in fuel consumption during transit phases and a 20% decrease in NOx emissions. These results are particularly significant for operations near Germany Frankfurt, where air quality monitoring is stringent due to high urban density surrounding the port areas. The poster displays three key graphs illustrating: 1) Correlation between hull cleaning intervals and fuel efficiency; 2) Real-time adjustment of engine RPM based on river current speeds; and 3) Comparative analysis of LNG vs. Heavy Fuel Oil costs in the Central European market.</w:t>
      </w:r>
    </w:p>
    <w:p>
      <w:pPr>
        <w:pStyle w:val="BodyText"/>
      </w:pPr>
      <w:r>
        <w:t xml:space="preserve">Furthermore, the study highlights a significant improvement in predictive maintenance accuracy. By analyzing vibration data from main propulsion engines, marine engineers were able to anticipate bearing failures weeks in advance, reducing unplanned downtime by 40%. This reliability is crucial for maintaining just-in-time delivery schedules essential to German industrial exports.</w:t>
      </w:r>
    </w:p>
    <w:p>
      <w:r>
        <w:pict>
          <v:rect style="width:0;height:1.5pt" o:hralign="center" o:hrstd="t" o:hr="t"/>
        </w:pict>
      </w:r>
    </w:p>
    <w:bookmarkStart w:id="20" w:name="X134a5dc87b192e791aca6bb86d4ffa4826d776a"/>
    <w:p>
      <w:pPr>
        <w:pStyle w:val="Heading3"/>
      </w:pPr>
      <w:r>
        <w:t xml:space="preserve">Discussion: Regulatory Compliance and Future Trends</w:t>
      </w:r>
    </w:p>
    <w:p>
      <w:pPr>
        <w:pStyle w:val="FirstParagraph"/>
      </w:pPr>
      <w:r>
        <w:t xml:space="preserve">Marine engineers must navigate a complex web of regulations. The European Union’s "Fit for 55" package mandates significant cuts in greenhouse gas emissions by 2030. For marine engineers stationed or consulting in Germany Frankfurt, this means that traditional diesel engines are becoming obsolete for new builds. Instead, there is a shift towards ammonia-ready engines and hydrogen fuel cells.</w:t>
      </w:r>
    </w:p>
    <w:p>
      <w:pPr>
        <w:pStyle w:val="BodyText"/>
      </w:pPr>
      <w:r>
        <w:t xml:space="preserve">The poster also discusses the importance of interdisciplinary collaboration. Modern marine engineering projects in Germany Frankfurt require teams comprising mechanical engineers, software developers, environmental scientists, and legal experts to ensure compliance with local ordinances. The success of sustainable shipping relies on the ability of marine engineers to communicate technical constraints to non-technical stakeholders.</w:t>
      </w:r>
    </w:p>
    <w:bookmarkEnd w:id="20"/>
    <w:p>
      <w:r>
        <w:pict>
          <v:rect style="width:0;height:1.5pt" o:hralign="center" o:hrstd="t" o:hr="t"/>
        </w:pict>
      </w:r>
    </w:p>
    <w:bookmarkStart w:id="21" w:name="conclusion"/>
    <w:p>
      <w:pPr>
        <w:pStyle w:val="Heading3"/>
      </w:pPr>
      <w:r>
        <w:t xml:space="preserve">Conclusion</w:t>
      </w:r>
    </w:p>
    <w:p>
      <w:pPr>
        <w:pStyle w:val="FirstParagraph"/>
      </w:pPr>
      <w:r>
        <w:t xml:space="preserve">This poster presentation demonstrates that the future of marine engineering lies at the intersection of traditional mechanical expertise and advanced digital technologies. The case study from Germany Frankfurt illustrates how inland ports can serve as laboratories for sustainable innovation. By adopting digital twin technologies and alternative fuels, marine engineers can significantly reduce the environmental footprint of shipping while enhancing economic efficiency.</w:t>
      </w:r>
    </w:p>
    <w:p>
      <w:pPr>
        <w:pStyle w:val="BodyText"/>
      </w:pPr>
      <w:r>
        <w:t xml:space="preserve">We urge academic institutions and industry partners to invest in training programs that equip future marine engineers with these dual competencies. As Germany Frankfurt continues to evolve into a green logistics hub, the professionals shaping its maritime future must be prepared to lead this technological transformation.</w:t>
      </w:r>
    </w:p>
    <w:bookmarkEnd w:id="21"/>
    <w:p>
      <w:r>
        <w:pict>
          <v:rect style="width:0;height:1.5pt" o:hralign="center" o:hrstd="t" o:hr="t"/>
        </w:pict>
      </w:r>
    </w:p>
    <w:bookmarkStart w:id="22" w:name="references"/>
    <w:p>
      <w:pPr>
        <w:pStyle w:val="Heading3"/>
      </w:pPr>
      <w:r>
        <w:t xml:space="preserve">References</w:t>
      </w:r>
    </w:p>
    <w:p>
      <w:pPr>
        <w:numPr>
          <w:ilvl w:val="0"/>
          <w:numId w:val="1001"/>
        </w:numPr>
        <w:pStyle w:val="Compact"/>
      </w:pPr>
      <w:r>
        <w:t xml:space="preserve">European Commission. (2021). *Fit for 55: Delivering the EU's 2030 Climate Target*. Brussels: Publications Office of the European Union.</w:t>
      </w:r>
    </w:p>
    <w:p>
      <w:pPr>
        <w:numPr>
          <w:ilvl w:val="0"/>
          <w:numId w:val="1001"/>
        </w:numPr>
        <w:pStyle w:val="Compact"/>
      </w:pPr>
      <w:r>
        <w:t xml:space="preserve">Weber, E., &amp; Schmidt, H. (2023). "Digital Twins in Riverine Shipping: Case Studies from the Rhine." *Journal of Marine Engineering and Technology*, 45(2), 112-129.</w:t>
      </w:r>
    </w:p>
    <w:p>
      <w:pPr>
        <w:numPr>
          <w:ilvl w:val="0"/>
          <w:numId w:val="1001"/>
        </w:numPr>
        <w:pStyle w:val="Compact"/>
      </w:pPr>
      <w:r>
        <w:t xml:space="preserve">German Federal Ministry for Digital and Transport. (2024). *National Strategy for Sustainable Mobility*. Berlin: BMDV Publications.</w:t>
      </w:r>
    </w:p>
    <w:p>
      <w:pPr>
        <w:numPr>
          <w:ilvl w:val="0"/>
          <w:numId w:val="1001"/>
        </w:numPr>
        <w:pStyle w:val="Compact"/>
      </w:pPr>
      <w:r>
        <w:t xml:space="preserve">International Maritime Organization. (2023). *Fourth GHG Study*. London: IMO Secretariat.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Excellence in Germany Frankfurt</dc:title>
  <dc:creator/>
  <dc:language>en</dc:language>
  <cp:keywords/>
  <dcterms:created xsi:type="dcterms:W3CDTF">2026-07-29T03:03:03Z</dcterms:created>
  <dcterms:modified xsi:type="dcterms:W3CDTF">2026-07-29T03:03:03Z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