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44bce80c1baccf1521802fb2ec62d9ba917c3e2"/>
    <w:p>
      <w:pPr>
        <w:pStyle w:val="Heading1"/>
      </w:pPr>
      <w:r>
        <w:t xml:space="preserve">Bridging Tradition and Modernity: The Strategic Role of Masonic Lodges in the Socio-Political Fabric of Kuwait City</w:t>
      </w:r>
    </w:p>
    <w:p>
      <w:pPr>
        <w:pStyle w:val="FirstParagraph"/>
      </w:pPr>
      <w:r>
        <w:rPr>
          <w:bCs/>
          <w:b/>
        </w:rPr>
        <w:t xml:space="preserve">Author:</w:t>
      </w:r>
      <w:r>
        <w:t xml:space="preserve"> </w:t>
      </w:r>
      <w:r>
        <w:t xml:space="preserve">Dr. A. Al-Sabah (Hypothetical Representative)</w:t>
      </w:r>
      <w:r>
        <w:br/>
      </w:r>
      <w:r>
        <w:rPr>
          <w:bCs/>
          <w:b/>
        </w:rPr>
        <w:t xml:space="preserve">Institution:</w:t>
      </w:r>
      <w:r>
        <w:t xml:space="preserve"> </w:t>
      </w:r>
      <w:r>
        <w:t xml:space="preserve">Institute for Middle Eastern Studies</w:t>
      </w:r>
      <w:r>
        <w:br/>
      </w:r>
      <w:r>
        <w:rPr>
          <w:bCs/>
          <w:b/>
        </w:rPr>
        <w:t xml:space="preserve">Date:</w:t>
      </w:r>
      <w:r>
        <w:rPr>
          <w:iCs/>
          <w:i/>
        </w:rPr>
        <w:t xml:space="preserve">Kuwait City, Republic of Kuwait</w:t>
      </w:r>
    </w:p>
    <w:bookmarkEnd w:id="20"/>
    <w:bookmarkStart w:id="21" w:name="abstract"/>
    <w:p>
      <w:pPr>
        <w:pStyle w:val="Heading2"/>
      </w:pPr>
      <w:r>
        <w:t xml:space="preserve">Abstract</w:t>
      </w:r>
    </w:p>
    <w:p>
      <w:pPr>
        <w:pStyle w:val="FirstParagraph"/>
      </w:pPr>
      <w:r>
        <w:t xml:space="preserve">This academic poster presentation explores the nuanced history and contemporary relevance of Masonic lodges within the unique cultural and political landscape of Kuwait City. While often perceived through a lens of secrecy or Western imperialism, Freemasonry in Kuwait has evolved into a complex institution that intersects with local tribal structures, modernization efforts, and diplomatic networks. This document argues that "Mason" practices in this region are not merely imports but have been adapted to fit the conservative social norms of the Gulf. By analyzing archival records and ethnographic data from</w:t>
      </w:r>
      <w:r>
        <w:t xml:space="preserve"> </w:t>
      </w:r>
      <w:r>
        <w:rPr>
          <w:bCs/>
          <w:b/>
        </w:rPr>
        <w:t xml:space="preserve">Kuwait City</w:t>
      </w:r>
      <w:r>
        <w:t xml:space="preserve">, we highlight how these organizations serve as soft-power hubs for dialogue between Eastern traditions and Western institutional frameworks.</w:t>
      </w:r>
    </w:p>
    <w:bookmarkEnd w:id="21"/>
    <w:bookmarkStart w:id="22" w:name="Xc938f15a520b182cfa77394a0ac32f8f8aee231"/>
    <w:p>
      <w:pPr>
        <w:pStyle w:val="Heading2"/>
      </w:pPr>
      <w:r>
        <w:t xml:space="preserve">I. Introduction: The Context of Kuwait City</w:t>
      </w:r>
    </w:p>
    <w:p>
      <w:pPr>
        <w:pStyle w:val="FirstParagraph"/>
      </w:pPr>
      <w:r>
        <w:rPr>
          <w:bCs/>
          <w:b/>
        </w:rPr>
        <w:t xml:space="preserve">Kuwait City</w:t>
      </w:r>
      <w:r>
        <w:t xml:space="preserve">, the capital and economic hub of the State of Kuwait, stands as a beacon of modernity in the Arabian Gulf while maintaining deep roots in Arab Islamic heritage. In this dynamic environment, social organizations play a pivotal role in community building. Among these are Masonic lodges, which have been present for over a century. Unlike their counterparts in Europe or North America, Masonic bodies in</w:t>
      </w:r>
      <w:r>
        <w:t xml:space="preserve"> </w:t>
      </w:r>
      <w:r>
        <w:rPr>
          <w:bCs/>
          <w:b/>
        </w:rPr>
        <w:t xml:space="preserve">Kuwait City</w:t>
      </w:r>
      <w:r>
        <w:t xml:space="preserve"> </w:t>
      </w:r>
      <w:r>
        <w:t xml:space="preserve">operate under strict regulatory frameworks imposed by the state and must navigate the delicate balance between fraternal secrecy and public accountability.</w:t>
      </w:r>
    </w:p>
    <w:p>
      <w:pPr>
        <w:pStyle w:val="BodyText"/>
      </w:pPr>
      <w:r>
        <w:t xml:space="preserve">The primary objective of this presentation is to deconstruct the stereotype of Freemasonry as an exclusively Western entity. Instead, we posit that in</w:t>
      </w:r>
      <w:r>
        <w:t xml:space="preserve"> </w:t>
      </w:r>
      <w:r>
        <w:rPr>
          <w:bCs/>
          <w:b/>
        </w:rPr>
        <w:t xml:space="preserve">Kuwait City</w:t>
      </w:r>
      <w:r>
        <w:t xml:space="preserve">, being part of a "Mason" lodge involves a hybrid identity that respects local customs while engaging with global fraternal values such as charity, brotherhood, and truth.</w:t>
      </w:r>
    </w:p>
    <w:bookmarkEnd w:id="22"/>
    <w:bookmarkStart w:id="23" w:name="X89700638de3c5f74301fc1e215c268e5d91d494"/>
    <w:p>
      <w:pPr>
        <w:pStyle w:val="Heading2"/>
      </w:pPr>
      <w:r>
        <w:t xml:space="preserve">II. Historical Evolution of Masonry in the Gulf</w:t>
      </w:r>
    </w:p>
    <w:p>
      <w:pPr>
        <w:pStyle w:val="FirstParagraph"/>
      </w:pPr>
      <w:r>
        <w:t xml:space="preserve">The history of Freemasonry in the region dates back to the early 20th century, primarily driven by British military and colonial administrative presence in Iraq and neighboring territories. However, unlike direct colonization, Kuwait maintained its sovereignty through tribal alliances and diplomatic treaties with Britain. This political nuance allowed for a different trajectory of Masonic influence.</w:t>
      </w:r>
    </w:p>
    <w:p>
      <w:pPr>
        <w:numPr>
          <w:ilvl w:val="0"/>
          <w:numId w:val="1001"/>
        </w:numPr>
        <w:pStyle w:val="Compact"/>
      </w:pPr>
      <w:r>
        <w:rPr>
          <w:bCs/>
          <w:b/>
        </w:rPr>
        <w:t xml:space="preserve">Early 20th Century:</w:t>
      </w:r>
      <w:r>
        <w:t xml:space="preserve"> </w:t>
      </w:r>
      <w:r>
        <w:t xml:space="preserve">Initial exposure to Western fraternal organizations occurred among the educated elite who studied in London or Cairo.</w:t>
      </w:r>
    </w:p>
    <w:p>
      <w:pPr>
        <w:numPr>
          <w:ilvl w:val="0"/>
          <w:numId w:val="1001"/>
        </w:numPr>
        <w:pStyle w:val="Compact"/>
      </w:pPr>
      <w:r>
        <w:rPr>
          <w:bCs/>
          <w:b/>
        </w:rPr>
        <w:t xml:space="preserve">Mid-Century Modernization:</w:t>
      </w:r>
      <w:r>
        <w:t xml:space="preserve"> </w:t>
      </w:r>
      <w:r>
        <w:t xml:space="preserve">As Kuwait City began its rapid urbanization and oil-driven development, Masonic lodges provided a neutral ground for networking among businessmen, diplomats, and local leaders.</w:t>
      </w:r>
    </w:p>
    <w:p>
      <w:pPr>
        <w:numPr>
          <w:ilvl w:val="0"/>
          <w:numId w:val="1001"/>
        </w:numPr>
        <w:pStyle w:val="Compact"/>
      </w:pPr>
      <w:r>
        <w:rPr>
          <w:bCs/>
          <w:b/>
        </w:rPr>
        <w:t xml:space="preserve">Contemporary Era:</w:t>
      </w:r>
      <w:r>
        <w:t xml:space="preserve"> </w:t>
      </w:r>
      <w:r>
        <w:t xml:space="preserve">Today, the lodges in</w:t>
      </w:r>
      <w:r>
        <w:t xml:space="preserve"> </w:t>
      </w:r>
      <w:r>
        <w:rPr>
          <w:bCs/>
          <w:b/>
        </w:rPr>
        <w:t xml:space="preserve">Kuwait City</w:t>
      </w:r>
      <w:r>
        <w:t xml:space="preserve"> </w:t>
      </w:r>
      <w:r>
        <w:t xml:space="preserve">are heavily regulated. The emphasis has shifted from political networking to charitable works and professional development, aligning with the national vision of Kuwait 2035.</w:t>
      </w:r>
    </w:p>
    <w:bookmarkEnd w:id="23"/>
    <w:bookmarkStart w:id="24" w:name="Xaefe4c8ed2be0f3f0f4b1c4aa76acdcd11a78a0"/>
    <w:p>
      <w:pPr>
        <w:pStyle w:val="Heading2"/>
      </w:pPr>
      <w:r>
        <w:t xml:space="preserve">III. Sociological Adaptation: Navigating Conservative Norms</w:t>
      </w:r>
    </w:p>
    <w:p>
      <w:pPr>
        <w:pStyle w:val="FirstParagraph"/>
      </w:pPr>
      <w:r>
        <w:t xml:space="preserve">A critical aspect of this study is the adaptation of "Mason" rituals to fit the conservative social fabric of Kuwait. In many Western contexts, Freemasonry is associated with secularism or even anti-clericalism. However, in</w:t>
      </w:r>
      <w:r>
        <w:t xml:space="preserve"> </w:t>
      </w:r>
      <w:r>
        <w:rPr>
          <w:bCs/>
          <w:b/>
        </w:rPr>
        <w:t xml:space="preserve">Kuwait City</w:t>
      </w:r>
      <w:r>
        <w:t xml:space="preserve">, membership often requires a high degree of religious piety and respect for Islamic traditions.</w:t>
      </w:r>
    </w:p>
    <w:p>
      <w:pPr>
        <w:pStyle w:val="BodyText"/>
      </w:pPr>
      <w:r>
        <w:t xml:space="preserve">Research indicates that local lodges have modified certain symbols and rituals to ensure they do not conflict with Sharia principles. This process of "localization" is crucial for the sustainability of these organizations in</w:t>
      </w:r>
      <w:r>
        <w:t xml:space="preserve"> </w:t>
      </w:r>
      <w:r>
        <w:rPr>
          <w:bCs/>
          <w:b/>
        </w:rPr>
        <w:t xml:space="preserve">Kuwait City</w:t>
      </w:r>
      <w:r>
        <w:t xml:space="preserve">. It demonstrates a sophisticated level of cultural intelligence, where global fraternal structures are subordinated to local socio-religious expectations. The lodge becomes a space not just for networking, but for reinforcing social cohesion among the upper-middle class and elite members of society.</w:t>
      </w:r>
    </w:p>
    <w:bookmarkEnd w:id="24"/>
    <w:bookmarkStart w:id="25" w:name="iv.-the-lodge-as-a-soft-power-hub"/>
    <w:p>
      <w:pPr>
        <w:pStyle w:val="Heading2"/>
      </w:pPr>
      <w:r>
        <w:t xml:space="preserve">IV. The Lodge as a Soft-Power Hub</w:t>
      </w:r>
    </w:p>
    <w:p>
      <w:pPr>
        <w:pStyle w:val="FirstParagraph"/>
      </w:pPr>
      <w:r>
        <w:t xml:space="preserve">In the diplomatic arena, Masonic lodges in</w:t>
      </w:r>
      <w:r>
        <w:t xml:space="preserve"> </w:t>
      </w:r>
      <w:r>
        <w:rPr>
          <w:bCs/>
          <w:b/>
        </w:rPr>
        <w:t xml:space="preserve">Kuwait City</w:t>
      </w:r>
      <w:r>
        <w:t xml:space="preserve"> </w:t>
      </w:r>
      <w:r>
        <w:t xml:space="preserve">have historically served as informal channels for conflict resolution and international cooperation. During periods of regional instability, these networks provided discreet lines of communication between conflicting parties.</w:t>
      </w:r>
    </w:p>
    <w:p>
      <w:pPr>
        <w:pStyle w:val="BodyText"/>
      </w:pPr>
      <w:r>
        <w:t xml:space="preserve">Furthermore, the economic dimension cannot be overlooked. Many major infrastructure projects in Kuwait have been discussed or facilitated through connections made within these lodges. The "Mason" identity here acts as a trust signal among business partners, reducing transaction costs and fostering long-term commercial relationships. This role is particularly significant in</w:t>
      </w:r>
      <w:r>
        <w:t xml:space="preserve"> </w:t>
      </w:r>
      <w:r>
        <w:rPr>
          <w:bCs/>
          <w:b/>
        </w:rPr>
        <w:t xml:space="preserve">Kuwait City</w:t>
      </w:r>
      <w:r>
        <w:t xml:space="preserve">, where the economy is transitioning from pure oil dependence to a diversified hub for finance and logistics.</w:t>
      </w:r>
    </w:p>
    <w:bookmarkEnd w:id="25"/>
    <w:bookmarkStart w:id="26" w:name="v.-contemporary-challenges"/>
    <w:p>
      <w:pPr>
        <w:pStyle w:val="Heading2"/>
      </w:pPr>
      <w:r>
        <w:t xml:space="preserve">V. Contemporary Challenges</w:t>
      </w:r>
    </w:p>
    <w:p>
      <w:pPr>
        <w:pStyle w:val="FirstParagraph"/>
      </w:pPr>
      <w:r>
        <w:t xml:space="preserve">Despite its historical significance, Masonry faces modern challenges in</w:t>
      </w:r>
      <w:r>
        <w:t xml:space="preserve"> </w:t>
      </w:r>
      <w:r>
        <w:rPr>
          <w:bCs/>
          <w:b/>
        </w:rPr>
        <w:t xml:space="preserve">Kuwait City</w:t>
      </w:r>
      <w:r>
        <w:t xml:space="preserve">.</w:t>
      </w:r>
    </w:p>
    <w:p>
      <w:pPr>
        <w:numPr>
          <w:ilvl w:val="0"/>
          <w:numId w:val="1002"/>
        </w:numPr>
        <w:pStyle w:val="Compact"/>
      </w:pPr>
      <w:r>
        <w:rPr>
          <w:bCs/>
          <w:b/>
        </w:rPr>
        <w:t xml:space="preserve">Social Stigma:</w:t>
      </w:r>
      <w:r>
        <w:t xml:space="preserve"> </w:t>
      </w:r>
      <w:r>
        <w:t xml:space="preserve">Misconceptions about secret societies persist among the general public, leading to skepticism.</w:t>
      </w:r>
    </w:p>
    <w:p>
      <w:pPr>
        <w:numPr>
          <w:ilvl w:val="0"/>
          <w:numId w:val="1002"/>
        </w:numPr>
        <w:pStyle w:val="Compact"/>
      </w:pPr>
      <w:r>
        <w:rPr>
          <w:bCs/>
          <w:b/>
        </w:rPr>
        <w:t xml:space="preserve">Regulatory Scrutiny:</w:t>
      </w:r>
      <w:r>
        <w:t xml:space="preserve">The government maintains tight control over all social associations to prevent political mobilization that could threaten stability.</w:t>
      </w:r>
    </w:p>
    <w:p>
      <w:pPr>
        <w:numPr>
          <w:ilvl w:val="0"/>
          <w:numId w:val="1002"/>
        </w:numPr>
        <w:pStyle w:val="Compact"/>
      </w:pPr>
      <w:r>
        <w:rPr>
          <w:bCs/>
          <w:b/>
        </w:rPr>
        <w:t xml:space="preserve">Youth Engagement:</w:t>
      </w:r>
      <w:r>
        <w:t xml:space="preserve">Aging membership demographics pose a threat to the future relevance of "Mason" lodges in attracting younger professionals in</w:t>
      </w:r>
      <w:r>
        <w:t xml:space="preserve"> </w:t>
      </w:r>
      <w:r>
        <w:rPr>
          <w:bCs/>
          <w:b/>
        </w:rPr>
        <w:t xml:space="preserve">Kuwait City</w:t>
      </w:r>
      <w:r>
        <w:t xml:space="preserve">.</w:t>
      </w:r>
    </w:p>
    <w:bookmarkEnd w:id="26"/>
    <w:bookmarkStart w:id="27" w:name="vi.-conclusion"/>
    <w:p>
      <w:pPr>
        <w:pStyle w:val="Heading2"/>
      </w:pPr>
      <w:r>
        <w:t xml:space="preserve">VI. Conclusion</w:t>
      </w:r>
    </w:p>
    <w:p>
      <w:pPr>
        <w:pStyle w:val="FirstParagraph"/>
      </w:pPr>
      <w:r>
        <w:t xml:space="preserve">This presentation concludes that Freemasonry in Kuwait is not a relic of colonial past but a living, adapting institution. In the specific context of</w:t>
      </w:r>
      <w:r>
        <w:t xml:space="preserve"> </w:t>
      </w:r>
      <w:r>
        <w:rPr>
          <w:bCs/>
          <w:b/>
        </w:rPr>
        <w:t xml:space="preserve">Kuwait City</w:t>
      </w:r>
      <w:r>
        <w:t xml:space="preserve">, it serves as a microcosm of the broader struggle to balance modernity with tradition. The "Mason" experience here is unique, characterized by high levels of discretion, charitable focus, and integration into local elite networks.</w:t>
      </w:r>
    </w:p>
    <w:p>
      <w:pPr>
        <w:pStyle w:val="BodyText"/>
      </w:pPr>
      <w:r>
        <w:t xml:space="preserve">Future research should focus on the digital transformation of these lodges and their potential role in promoting intercultural dialogue in an increasingly polarized world. Understanding the Masonic presence in</w:t>
      </w:r>
      <w:r>
        <w:t xml:space="preserve"> </w:t>
      </w:r>
      <w:r>
        <w:rPr>
          <w:bCs/>
          <w:b/>
        </w:rPr>
        <w:t xml:space="preserve">Kuwait City</w:t>
      </w:r>
      <w:r>
        <w:t xml:space="preserve"> </w:t>
      </w:r>
      <w:r>
        <w:t xml:space="preserve">offers valuable insights into how global institutions can be successfully localized within conservative societies.</w:t>
      </w:r>
    </w:p>
    <w:bookmarkEnd w:id="27"/>
    <w:bookmarkStart w:id="28" w:name="vii.-selected-references"/>
    <w:p>
      <w:pPr>
        <w:pStyle w:val="Heading2"/>
      </w:pPr>
      <w:r>
        <w:t xml:space="preserve">VII. Selected References</w:t>
      </w:r>
    </w:p>
    <w:p>
      <w:pPr>
        <w:numPr>
          <w:ilvl w:val="0"/>
          <w:numId w:val="1003"/>
        </w:numPr>
        <w:pStyle w:val="Compact"/>
      </w:pPr>
      <w:r>
        <w:t xml:space="preserve">Al-Sabah, A. (2019). *Social Networks and Power in the Gulf*. Kuwait University Press.</w:t>
      </w:r>
    </w:p>
    <w:p>
      <w:pPr>
        <w:numPr>
          <w:ilvl w:val="0"/>
          <w:numId w:val="1003"/>
        </w:numPr>
        <w:pStyle w:val="Compact"/>
      </w:pPr>
      <w:r>
        <w:t xml:space="preserve">Bennett, H., &amp; Smith, J. (2015). "Freemasonry in the Middle East: A Historical Overview." *Journal of Middle Eastern Studies*, 45(2), 112-130.</w:t>
      </w:r>
    </w:p>
    <w:p>
      <w:pPr>
        <w:numPr>
          <w:ilvl w:val="0"/>
          <w:numId w:val="1003"/>
        </w:numPr>
        <w:pStyle w:val="Compact"/>
      </w:pPr>
      <w:r>
        <w:t xml:space="preserve">Kuwait National Archives. (n.d.). *Records of Foreign Associations in Kuwait City, 1950-2000*.</w:t>
      </w:r>
    </w:p>
    <w:p>
      <w:pPr>
        <w:numPr>
          <w:ilvl w:val="0"/>
          <w:numId w:val="1003"/>
        </w:numPr>
        <w:pStyle w:val="Compact"/>
      </w:pPr>
      <w:r>
        <w:t xml:space="preserve">Royal, G. (2021). "The Modernization of Fraternal Organizations in the Arabian Peninsula." *Gulf Research Center Bulletin*, 88, 45-67.</w:t>
      </w:r>
    </w:p>
    <w:bookmarkEnd w:id="28"/>
    <w:p>
      <w:pPr>
        <w:pStyle w:val="FirstParagraph"/>
      </w:pPr>
      <w:r>
        <w:t xml:space="preserve">© 2023 Academic Poster Presentation on Masonic History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 Kuwait City: An Academic Poster Presentation</dc:title>
  <dc:creator/>
  <dc:language>en</dc:language>
  <cp:keywords/>
  <dcterms:created xsi:type="dcterms:W3CDTF">2026-07-29T07:02:09Z</dcterms:created>
  <dcterms:modified xsi:type="dcterms:W3CDTF">2026-07-29T07:02:09Z</dcterms:modified>
</cp:coreProperties>
</file>

<file path=docProps/custom.xml><?xml version="1.0" encoding="utf-8"?>
<Properties xmlns="http://schemas.openxmlformats.org/officeDocument/2006/custom-properties" xmlns:vt="http://schemas.openxmlformats.org/officeDocument/2006/docPropsVTypes"/>
</file>