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54dbee17b66030bdb27813906c1f8bd4387bb1a"/>
    <w:p>
      <w:pPr>
        <w:pStyle w:val="Heading1"/>
      </w:pPr>
      <w:r>
        <w:t xml:space="preserve">Mason: A Strategic Framework for Academic Poster Presentation in Malaysia Kuala Lumpur</w:t>
      </w:r>
    </w:p>
    <w:p>
      <w:pPr>
        <w:pStyle w:val="FirstParagraph"/>
      </w:pPr>
      <w:r>
        <w:rPr>
          <w:bCs/>
          <w:b/>
        </w:rPr>
        <w:t xml:space="preserve">A Comprehensive Guide to Visual Communication and Cultural Engagement in the Heart of Southeast Asia</w:t>
      </w:r>
    </w:p>
    <w:bookmarkEnd w:id="20"/>
    <w:bookmarkStart w:id="22" w:name="introduction"/>
    <w:bookmarkStart w:id="21" w:name="Xdb2115559a398c9841786eeafd9b7f082d4fa85"/>
    <w:p>
      <w:pPr>
        <w:pStyle w:val="Heading2"/>
      </w:pPr>
      <w:r>
        <w:t xml:space="preserve">The Nexus of Mason, Academic Poster Presentation, and Malaysia Kuala Lumpur</w:t>
      </w:r>
    </w:p>
    <w:p>
      <w:pPr>
        <w:pStyle w:val="FirstParagraph"/>
      </w:pPr>
      <w:r>
        <w:t xml:space="preserve">In the contemporary landscape of global academia, the method by which research findings are disseminated is as critical as the findings themselves. The "Poster Presentation" remains one of the most dynamic formats for scientific and humanities exchange, allowing for direct engagement between researchers and peers. However, when this format is situated within a specific geographic and cultural context such as</w:t>
      </w:r>
      <w:r>
        <w:t xml:space="preserve"> </w:t>
      </w:r>
      <w:r>
        <w:rPr>
          <w:bCs/>
          <w:b/>
        </w:rPr>
        <w:t xml:space="preserve">Malaysia Kuala Lumpur</w:t>
      </w:r>
      <w:r>
        <w:t xml:space="preserve">, it demands a nuanced approach that respects local academic traditions while leveraging modern visual communication strategies. This document introduces the concept of</w:t>
      </w:r>
      <w:r>
        <w:t xml:space="preserve"> </w:t>
      </w:r>
      <w:r>
        <w:rPr>
          <w:bCs/>
          <w:b/>
        </w:rPr>
        <w:t xml:space="preserve">Mason</w:t>
      </w:r>
      <w:r>
        <w:t xml:space="preserve">, not merely as a proper noun or architectural term, but as an acronymic framework representing Structure, Methodology, Audience engagement, and Narrative integrity.</w:t>
      </w:r>
    </w:p>
    <w:p>
      <w:pPr>
        <w:pStyle w:val="BodyText"/>
      </w:pPr>
      <w:r>
        <w:t xml:space="preserve">Kuala Lumpur has emerged as a pivotal hub for international conferences in Southeast Asia. As a melting pot of Malay, Chinese Indian and expatriate cultures the capital city offers a unique backdrop for academic discourse. For researchers presenting at institutions such as Universiti Malaya, Taylor’s University or various conference centers in the Bukit Bintang district understanding the interplay between rigorous</w:t>
      </w:r>
      <w:r>
        <w:t xml:space="preserve"> </w:t>
      </w:r>
      <w:r>
        <w:rPr>
          <w:bCs/>
          <w:b/>
        </w:rPr>
        <w:t xml:space="preserve">academic poster presentation</w:t>
      </w:r>
    </w:p>
    <w:bookmarkEnd w:id="21"/>
    <w:bookmarkEnd w:id="22"/>
    <w:bookmarkStart w:id="29" w:name="mason-framework"/>
    <w:bookmarkStart w:id="28" w:name="the-mason-framework-deconstructed"/>
    <w:p>
      <w:pPr>
        <w:pStyle w:val="Heading2"/>
      </w:pPr>
      <w:r>
        <w:t xml:space="preserve">The MASON Framework Deconstructed</w:t>
      </w:r>
    </w:p>
    <w:p>
      <w:pPr>
        <w:pStyle w:val="FirstParagraph"/>
      </w:pPr>
      <w:r>
        <w:t xml:space="preserve">To effectively navigate the complexities of presenting in this vibrant region, we must deconstruct Mason into its constituent pillars. This framework ensures that every element of your poster contributes to a cohesive narrative tailored for an audience in Malaysia Kuala Lumpur.</w:t>
      </w:r>
    </w:p>
    <w:bookmarkStart w:id="23" w:name="m-methodology-and-visual-clarity"/>
    <w:p>
      <w:pPr>
        <w:pStyle w:val="Heading3"/>
      </w:pPr>
      <w:r>
        <w:t xml:space="preserve">M: Methodology and Visual Clarity</w:t>
      </w:r>
    </w:p>
    <w:p>
      <w:pPr>
        <w:pStyle w:val="FirstParagraph"/>
      </w:pPr>
      <w:r>
        <w:t xml:space="preserve">The first 'M' stands for Methodology, but in the context of a visual medium it translates to structural integrity. An academic poster presentation is not a printed manuscript; it is a billboard for your research. In Kuala Lumpur where conference attendance can be high and diverse ranging from PhD candidates to senior industry professionals clarity is king. Your methodology section must be simplified into flowcharts or infographics rather than dense paragraphs.</w:t>
      </w:r>
    </w:p>
    <w:p>
      <w:pPr>
        <w:pStyle w:val="BodyText"/>
      </w:pPr>
      <w:r>
        <w:t xml:space="preserve">Consider the environmental conditions of Kuala Lumpur which often feature high humidity and bright indoor lighting in convention centers. High contrast fonts and clear, legible diagrams are not just aesthetic choices but functional necessities. Avoid cluttered layouts that make it difficult for attendees to grasp the core scientific process at a glance. The goal is to guide the viewer’s eye through your experimental design with intuitive ease.</w:t>
      </w:r>
    </w:p>
    <w:bookmarkEnd w:id="23"/>
    <w:bookmarkStart w:id="24" w:name="a-audience-and-cultural-sensitivity"/>
    <w:p>
      <w:pPr>
        <w:pStyle w:val="Heading3"/>
      </w:pPr>
      <w:r>
        <w:t xml:space="preserve">A: Audience and Cultural Sensitivity</w:t>
      </w:r>
    </w:p>
    <w:p>
      <w:pPr>
        <w:pStyle w:val="FirstParagraph"/>
      </w:pPr>
      <w:r>
        <w:t xml:space="preserve">The second 'A' represents Audience, specifically tailored to the demographic of Malaysia Kuala Lumpur. This audience is characterized by a high degree of cultural diversity and religious sensitivity. When designing your poster presentation, it is imperative to ensure that all imagery language and case studies are inclusive. For instance if your research involves health data or social sciences avoid imagery that may conflict with local Islamic modesty standards or other cultural norms prevalent in the region.</w:t>
      </w:r>
    </w:p>
    <w:p>
      <w:pPr>
        <w:pStyle w:val="BodyText"/>
      </w:pPr>
      <w:r>
        <w:t xml:space="preserve">Furthermore, acknowledging the multicultural nature of Kuala Lumpur can enhance your engagement. Using bilingual headers (English and Bahasa Malaysia) where appropriate can signal respect for the host nation and make your research more accessible to local postgraduate students who may be more comfortable with Bahasa but are actively participating in English-speaking academic circles. This adaptive strategy fosters a welcoming atmosphere, encouraging locals to stop by and engage.</w:t>
      </w:r>
    </w:p>
    <w:bookmarkEnd w:id="24"/>
    <w:bookmarkStart w:id="25" w:name="s-structure-and-layout-hierarchy"/>
    <w:p>
      <w:pPr>
        <w:pStyle w:val="Heading3"/>
      </w:pPr>
      <w:r>
        <w:t xml:space="preserve">S: Structure and Layout Hierarchy</w:t>
      </w:r>
    </w:p>
    <w:p>
      <w:pPr>
        <w:pStyle w:val="FirstParagraph"/>
      </w:pPr>
      <w:r>
        <w:t xml:space="preserve">The 'S' denotes Structure. A common error in academic poster presentations is the lack of visual hierarchy. In the bustling environment of a Kuala Lumpur conference hall noise levels can be high, and foot traffic rapid. Your structure must allow for a "three-second rule": if an observer cannot understand your main hypothesis or conclusion within three seconds they will likely move on.</w:t>
      </w:r>
    </w:p>
    <w:p>
      <w:pPr>
        <w:pStyle w:val="BodyText"/>
      </w:pPr>
      <w:r>
        <w:t xml:space="preserve">Adopt a Z-pattern layout which aligns with natural Western reading patterns but is also effective globally. Place your title and institution prominently at the top. Use the left column for Introduction and Objectives, the center for Results and Visual Data, and the right column for Discussion, Conclusion, and References. This logical flow mirrors the structure of a scientific paper but adapts it to spatial constraints ensuring that your message is digestible even in short interactions.</w:t>
      </w:r>
    </w:p>
    <w:bookmarkEnd w:id="25"/>
    <w:bookmarkStart w:id="26" w:name="Xfad249396aeab848f5f8faadedb13e217bf9e62"/>
    <w:p>
      <w:pPr>
        <w:pStyle w:val="Heading3"/>
      </w:pPr>
      <w:r>
        <w:t xml:space="preserve">O: Optimization of Digital-Physical Integration</w:t>
      </w:r>
    </w:p>
    <w:p>
      <w:pPr>
        <w:pStyle w:val="FirstParagraph"/>
      </w:pPr>
      <w:r>
        <w:t xml:space="preserve">The 'O' (phonetically linked to the 'N' in Mason for conceptual flow) or often interpreted as "Output" refers to the optimization of physical and digital synergy. In modern academic settings, particularly in tech-forward hubs like Kuala Lumpur, a static poster is only half the battle. You must integrate QR codes that link to your full paper, data sets hosted on cloud servers or a brief video abstract.</w:t>
      </w:r>
    </w:p>
    <w:p>
      <w:pPr>
        <w:pStyle w:val="BodyText"/>
      </w:pPr>
      <w:r>
        <w:t xml:space="preserve">This is particularly relevant in Malaysia where smartphone penetration and digital literacy are exceptionally high. By providing digital extensions to your physical poster you cater to the tech-savvy audience of Kuala Lumpur who may wish to dive deeper into your data post-session. This also allows for real-time updates; if a question arises frequently during the presentation, you can update the linked digital resource immediately, demonstrating agility and thoroughness.</w:t>
      </w:r>
    </w:p>
    <w:bookmarkEnd w:id="26"/>
    <w:bookmarkStart w:id="27" w:name="n-narrative-and-engagement"/>
    <w:p>
      <w:pPr>
        <w:pStyle w:val="Heading3"/>
      </w:pPr>
      <w:r>
        <w:t xml:space="preserve">N: Narrative and Engagement</w:t>
      </w:r>
    </w:p>
    <w:p>
      <w:pPr>
        <w:pStyle w:val="FirstParagraph"/>
      </w:pPr>
      <w:r>
        <w:t xml:space="preserve">Finally, 'N' stands for Narrative. Data without a story is merely information. The most successful academic poster presentations in Kuala Lumpur are those that tell a compelling story about the problem being solved. Whether your research is in engineering medicine or social sciences frame your narrative around human impact or societal benefit.</w:t>
      </w:r>
    </w:p>
    <w:p>
      <w:pPr>
        <w:pStyle w:val="BodyText"/>
      </w:pPr>
      <w:r>
        <w:t xml:space="preserve">In Malaysian culture, relationships and personal connection are highly valued in communication (often referred to as *Muhibbah* spirit). Your narrative should not be coldly detached. Use language that invites dialogue rather than lecturing. Prepare a "pitch" that begins with a question or a surprising statistic relevant to the Southeast Asian region if applicable. This hooks the listener emotionally before engaging them intellectually.</w:t>
      </w:r>
    </w:p>
    <w:bookmarkEnd w:id="27"/>
    <w:bookmarkEnd w:id="28"/>
    <w:bookmarkEnd w:id="29"/>
    <w:bookmarkStart w:id="31" w:name="implementation"/>
    <w:bookmarkStart w:id="30" w:name="X1f073f42357b27e0c11daa6729aa0b4ffb98a5b"/>
    <w:p>
      <w:pPr>
        <w:pStyle w:val="Heading2"/>
      </w:pPr>
      <w:r>
        <w:t xml:space="preserve">Practical Implementation Strategies for Kuala Lumpur</w:t>
      </w:r>
    </w:p>
    <w:p>
      <w:pPr>
        <w:pStyle w:val="FirstParagraph"/>
      </w:pPr>
      <w:r>
        <w:rPr>
          <w:bCs/>
          <w:b/>
        </w:rPr>
        <w:t xml:space="preserve">Actionable Tips for Presenters:</w:t>
      </w:r>
    </w:p>
    <w:p>
      <w:pPr>
        <w:numPr>
          <w:ilvl w:val="0"/>
          <w:numId w:val="1001"/>
        </w:numPr>
        <w:pStyle w:val="Compact"/>
      </w:pPr>
      <w:r>
        <w:rPr>
          <w:bCs/>
          <w:b/>
        </w:rPr>
        <w:t xml:space="preserve">Tailor Your Content:</w:t>
      </w:r>
      <w:r>
        <w:t xml:space="preserve"> </w:t>
      </w:r>
      <w:r>
        <w:t xml:space="preserve">If presenting at a conference in KL, include a slide or section that addresses regional implications of your work. Malaysian institutions are increasingly focused on sustainable development goals (SDGs) relevant to tropical climates and urbanization.</w:t>
      </w:r>
    </w:p>
    <w:p>
      <w:pPr>
        <w:numPr>
          <w:ilvl w:val="0"/>
          <w:numId w:val="1001"/>
        </w:numPr>
        <w:pStyle w:val="Compact"/>
      </w:pPr>
      <w:r>
        <w:rPr>
          <w:bCs/>
          <w:b/>
        </w:rPr>
        <w:t xml:space="preserve">Design for Durability:</w:t>
      </w:r>
      <w:r>
        <w:t xml:space="preserve"> </w:t>
      </w:r>
      <w:r>
        <w:t xml:space="preserve">Kuala Lumpur’s humidity can affect adhesive materials. Use high-quality mounting techniques and consider laminating critical sections to prevent warping during long conference days.</w:t>
      </w:r>
    </w:p>
    <w:p>
      <w:pPr>
        <w:numPr>
          <w:ilvl w:val="0"/>
          <w:numId w:val="1001"/>
        </w:numPr>
        <w:pStyle w:val="Compact"/>
      </w:pPr>
      <w:r>
        <w:rPr>
          <w:bCs/>
          <w:b/>
        </w:rPr>
        <w:t xml:space="preserve">Cultural Etiquette:</w:t>
      </w:r>
      <w:r>
        <w:t xml:space="preserve"> </w:t>
      </w:r>
      <w:r>
        <w:t xml:space="preserve">When engaging with attendees, maintain a polite and reserved demeanor initially. Handshakes are common but be mindful of gender interactions if you are unsure; a slight nod or smile is often an acceptable greeting in formal academic settings until the other party extends their hand.</w:t>
      </w:r>
    </w:p>
    <w:p>
      <w:pPr>
        <w:numPr>
          <w:ilvl w:val="0"/>
          <w:numId w:val="1001"/>
        </w:numPr>
        <w:pStyle w:val="Compact"/>
      </w:pPr>
      <w:r>
        <w:rPr>
          <w:bCs/>
          <w:b/>
        </w:rPr>
        <w:t xml:space="preserve">Networking Dynamics:</w:t>
      </w:r>
      <w:r>
        <w:t xml:space="preserve"> </w:t>
      </w:r>
      <w:r>
        <w:t xml:space="preserve">The "Mason" approach encourages active listening. In Kuala Lumpur, networking is often done over coffee or tea breaks rather than rigid scheduled slots. Use your poster as a conversation starter that leads to these informal but valuable exchanges.</w:t>
      </w:r>
    </w:p>
    <w:bookmarkEnd w:id="30"/>
    <w:bookmarkEnd w:id="31"/>
    <w:bookmarkStart w:id="32" w:name="conclusion"/>
    <w:p>
      <w:pPr>
        <w:pStyle w:val="Heading2"/>
      </w:pPr>
      <w:r>
        <w:t xml:space="preserve">Conclusion</w:t>
      </w:r>
    </w:p>
    <w:p>
      <w:pPr>
        <w:pStyle w:val="FirstParagraph"/>
      </w:pPr>
      <w:r>
        <w:t xml:space="preserve">The synthesis of the Mason framework with the specific requirements of an academic poster presentation in Malaysia Kuala Lumpur creates a robust strategy for scholarly success. By prioritizing methodological clarity (*M*), audience sensitivity (*A*), structural hierarchy (*S*), digital optimization (*O*, integrated into N), and compelling narrative (*N*) researchers can transcend the barriers of language and culture.</w:t>
      </w:r>
    </w:p>
    <w:p>
      <w:pPr>
        <w:pStyle w:val="BodyText"/>
      </w:pPr>
      <w:r>
        <w:t xml:space="preserve">Kuala Lumpur serves not just as a venue but as a catalyst for broader academic collaboration. It is a gateway to Southeast Asian markets and intellectual networks. By adhering to the Mason principles, presenters ensure that their work is respected received with open arms and integrated meaningfully into the global academic community. The poster ceases to be merely a piece of paper on a board; it becomes a bridge connecting diverse minds in one of Asia’s most dynamic cities.</w:t>
      </w:r>
    </w:p>
    <w:bookmarkEnd w:id="32"/>
    <w:p>
      <w:pPr>
        <w:pStyle w:val="BodyText"/>
      </w:pPr>
      <w:r>
        <w:t xml:space="preserve">© 2023 Academic Presentation Guidelines. All Rights Reserved. Developed for the International Academic Community in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Framework for Academic Poster Presentation in Malaysia Kuala Lumpur</dc:title>
  <dc:creator/>
  <dc:language>en</dc:language>
  <cp:keywords/>
  <dcterms:created xsi:type="dcterms:W3CDTF">2026-07-29T12:28:53Z</dcterms:created>
  <dcterms:modified xsi:type="dcterms:W3CDTF">2026-07-29T12:28:53Z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