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Masonic</w:t>
      </w:r>
      <w:r>
        <w:t xml:space="preserve"> </w:t>
      </w:r>
      <w:r>
        <w:t xml:space="preserve">Heritage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Karachi:</w:t>
      </w:r>
      <w:r>
        <w:t xml:space="preserve"> </w:t>
      </w:r>
      <w:r>
        <w:t xml:space="preserve">A</w:t>
      </w:r>
      <w:r>
        <w:t xml:space="preserve"> </w:t>
      </w:r>
      <w:r>
        <w:t xml:space="preserve">Post-Colonial</w:t>
      </w:r>
      <w:r>
        <w:t xml:space="preserve"> </w:t>
      </w:r>
      <w:r>
        <w:t xml:space="preserve">Synthesis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Masonic Heritage in Pakistan Karachi: A Post-Colonial Synthesis</dc:title>
  <dc:creator/>
  <dc:language>en</dc:language>
  <cp:keywords/>
  <dcterms:created xsi:type="dcterms:W3CDTF">2026-09-27T01:36:54Z</dcterms:created>
  <dcterms:modified xsi:type="dcterms:W3CDTF">2026-09-27T01:36:54Z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