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Masonic</w:t>
      </w:r>
      <w:r>
        <w:t xml:space="preserve"> </w:t>
      </w:r>
      <w:r>
        <w:t xml:space="preserve">Heritage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Karachi:</w:t>
      </w:r>
      <w:r>
        <w:t xml:space="preserve"> </w:t>
      </w:r>
      <w:r>
        <w:t xml:space="preserve">A</w:t>
      </w:r>
      <w:r>
        <w:t xml:space="preserve"> </w:t>
      </w:r>
      <w:r>
        <w:t xml:space="preserve">Post-Colonial</w:t>
      </w:r>
      <w:r>
        <w:t xml:space="preserve"> </w:t>
      </w:r>
      <w:r>
        <w:t xml:space="preserve">Synthesis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Masonic Heritage in Pakistan Karachi: A Post-Colonial Synthesis</dc:title>
  <dc:creator/>
  <dc:language>en</dc:language>
  <cp:keywords/>
  <dcterms:created xsi:type="dcterms:W3CDTF">2026-07-29T06:59:53Z</dcterms:created>
  <dcterms:modified xsi:type="dcterms:W3CDTF">2026-07-29T06:59:53Z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