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Peruvian</w:t>
      </w:r>
      <w:r>
        <w:t xml:space="preserve"> </w:t>
      </w:r>
      <w:r>
        <w:t xml:space="preserve">Market</w:t>
      </w:r>
      <w:r>
        <w:t xml:space="preserve"> </w:t>
      </w:r>
      <w:r>
        <w:t xml:space="preserve">in</w:t>
      </w:r>
      <w:r>
        <w:t xml:space="preserve"> </w:t>
      </w:r>
      <w:r>
        <w:t xml:space="preserve">Peru</w:t>
      </w:r>
      <w:r>
        <w:t xml:space="preserve"> </w:t>
      </w:r>
      <w:r>
        <w:t xml:space="preserve">Lima</w:t>
      </w:r>
    </w:p>
    <w:bookmarkStart w:id="20" w:name="Xe3756b8ed82c171bc99ab70128963d7566a8067"/>
    <w:p>
      <w:pPr>
        <w:pStyle w:val="Heading1"/>
      </w:pPr>
      <w:r>
        <w:t xml:space="preserve">Mason in Peru Lima: Strategic Market Entry and Operational Excellence</w:t>
      </w:r>
    </w:p>
    <w:p>
      <w:pPr>
        <w:pStyle w:val="FirstParagraph"/>
      </w:pPr>
      <w:r>
        <w:t xml:space="preserve">Presented at the International Business Symposium on Latin American Markets</w:t>
      </w:r>
      <w:r>
        <w:br/>
      </w:r>
      <w:r>
        <w:t xml:space="preserve">Lima, Peru | October 2023</w:t>
      </w:r>
    </w:p>
    <w:bookmarkEnd w:id="20"/>
    <w:bookmarkStart w:id="21" w:name="abstract"/>
    <w:p>
      <w:pPr>
        <w:pStyle w:val="Heading3"/>
      </w:pPr>
      <w:r>
        <w:t xml:space="preserve">Abstract</w:t>
      </w:r>
    </w:p>
    <w:p>
      <w:pPr>
        <w:pStyle w:val="FirstParagraph"/>
      </w:pPr>
      <w:r>
        <w:t xml:space="preserve">This academic poster presentation analyzes the strategic positioning, operational challenges, and market opportunities for Mason within the dynamic economic landscape of Peru Lima. As a global entity seeking to expand its footprint in emerging markets, understanding the socio-economic nuances of Peru Lima is paramount. This document outlines a comprehensive framework for entry, focusing on regulatory compliance in Peru Lima, consumer behavior analysis specific to the Peruvian demographic, and sustainable operational models tailored to the local infrastructure. The study synthesizes qualitative data from regional experts and quantitative market research to propose a phased rollout strategy that aligns Mason’s core competencies with the unique demands of the Peru Lima metropolitan area.</w:t>
      </w:r>
    </w:p>
    <w:bookmarkEnd w:id="21"/>
    <w:bookmarkStart w:id="22" w:name="Xe6ef07ab253e8839713d517798bd11a7b1136eb"/>
    <w:p>
      <w:pPr>
        <w:pStyle w:val="Heading2"/>
      </w:pPr>
      <w:r>
        <w:t xml:space="preserve">1. Introduction: Contextualizing Mason in Peru Lima</w:t>
      </w:r>
    </w:p>
    <w:p>
      <w:pPr>
        <w:pStyle w:val="FirstParagraph"/>
      </w:pPr>
      <w:r>
        <w:t xml:space="preserve">The integration of multinational corporations into emerging economies requires a nuanced understanding of local contexts. For Mason, the decision to target Peru Lima is driven by the city’s status as the economic engine of Peru. Located on the central coast, Peru Lima serves as both a political capital and a commercial hub, offering unparalleled access to Andean resources and Pacific trade routes. However, operating in Peru Lima presents distinct challenges related to infrastructure variability, cultural diversity, and regulatory complexity.</w:t>
      </w:r>
    </w:p>
    <w:p>
      <w:pPr>
        <w:pStyle w:val="BodyText"/>
      </w:pPr>
      <w:r>
        <w:t xml:space="preserve">This presentation aims to bridge the gap between global strategic goals of Mason and local realities in Peru Lima. By examining historical market trends in Peru Lima over the last decade, we identify a growing middle class with increasing disposable income, particularly in sectors related to technology, logistics, and sustainable services. The objective is to position Mason not merely as an external entity, but as a stakeholder committed to the long-term development of Peru Lima.</w:t>
      </w:r>
    </w:p>
    <w:bookmarkEnd w:id="22"/>
    <w:bookmarkStart w:id="26" w:name="X1f2bc45139abcdf1b1a093a97632403219de7ee"/>
    <w:p>
      <w:pPr>
        <w:pStyle w:val="Heading2"/>
      </w:pPr>
      <w:r>
        <w:t xml:space="preserve">2. Market Analysis: The Unique Dynamics of Peru Lima</w:t>
      </w:r>
    </w:p>
    <w:p>
      <w:pPr>
        <w:pStyle w:val="FirstParagraph"/>
      </w:pPr>
      <w:r>
        <w:t xml:space="preserve">To succeed in Peru Lima, Mason must navigate a complex market environment characterized by rapid urbanization and digital transformation. The following key factors define the current landscape:</w:t>
      </w:r>
    </w:p>
    <w:bookmarkStart w:id="23" w:name="economic-indicators"/>
    <w:p>
      <w:pPr>
        <w:pStyle w:val="Heading3"/>
      </w:pPr>
      <w:r>
        <w:t xml:space="preserve">2.1 Economic Indicators</w:t>
      </w:r>
    </w:p>
    <w:p>
      <w:pPr>
        <w:numPr>
          <w:ilvl w:val="0"/>
          <w:numId w:val="1001"/>
        </w:numPr>
        <w:pStyle w:val="Compact"/>
      </w:pPr>
      <w:r>
        <w:rPr>
          <w:bCs/>
          <w:b/>
        </w:rPr>
        <w:t xml:space="preserve">GDP Growth:</w:t>
      </w:r>
      <w:r>
        <w:t xml:space="preserve"> </w:t>
      </w:r>
      <w:r>
        <w:t xml:space="preserve">Peru Lima contributes approximately 40% to the national GDP of Peru, indicating high commercial density.</w:t>
      </w:r>
    </w:p>
    <w:p>
      <w:pPr>
        <w:numPr>
          <w:ilvl w:val="0"/>
          <w:numId w:val="1001"/>
        </w:numPr>
        <w:pStyle w:val="Compact"/>
      </w:pPr>
      <w:r>
        <w:rPr>
          <w:bCs/>
          <w:b/>
        </w:rPr>
        <w:t xml:space="preserve">Inflation and Stability:</w:t>
      </w:r>
      <w:r>
        <w:t xml:space="preserve"> </w:t>
      </w:r>
      <w:r>
        <w:t xml:space="preserve">While stable compared to regional peers, inflation in Peru Lima requires agile pricing strategies for Mason’s product lines.</w:t>
      </w:r>
    </w:p>
    <w:bookmarkEnd w:id="23"/>
    <w:bookmarkStart w:id="24" w:name="consumer-behavior-in-peru-lima"/>
    <w:p>
      <w:pPr>
        <w:pStyle w:val="Heading3"/>
      </w:pPr>
      <w:r>
        <w:t xml:space="preserve">2.2 Consumer Behavior in Peru Lima</w:t>
      </w:r>
    </w:p>
    <w:p>
      <w:pPr>
        <w:numPr>
          <w:ilvl w:val="0"/>
          <w:numId w:val="1002"/>
        </w:numPr>
        <w:pStyle w:val="Compact"/>
      </w:pPr>
      <w:r>
        <w:rPr>
          <w:bCs/>
          <w:b/>
        </w:rPr>
        <w:t xml:space="preserve">Digital Adoption:</w:t>
      </w:r>
      <w:r>
        <w:t xml:space="preserve"> </w:t>
      </w:r>
      <w:r>
        <w:t xml:space="preserve">High smartphone penetration in Peru Lima suggests that digital-first engagement strategies will be more effective than traditional media.</w:t>
      </w:r>
    </w:p>
    <w:p>
      <w:pPr>
        <w:numPr>
          <w:ilvl w:val="0"/>
          <w:numId w:val="1002"/>
        </w:numPr>
        <w:pStyle w:val="Compact"/>
      </w:pPr>
      <w:r>
        <w:rPr>
          <w:bCs/>
          <w:b/>
        </w:rPr>
        <w:t xml:space="preserve">Cultural Sensitivity:</w:t>
      </w:r>
      <w:r>
        <w:t xml:space="preserve"> </w:t>
      </w:r>
      <w:r>
        <w:t xml:space="preserve">Consumers in Peru Lima value relationships and trust. Mason’s brand messaging must reflect community-centric values rather than purely transactional interactions.</w:t>
      </w:r>
    </w:p>
    <w:bookmarkEnd w:id="24"/>
    <w:bookmarkStart w:id="25" w:name="competitive-landscape"/>
    <w:p>
      <w:pPr>
        <w:pStyle w:val="Heading3"/>
      </w:pPr>
      <w:r>
        <w:t xml:space="preserve">2.3 Competitive Landscape</w:t>
      </w:r>
    </w:p>
    <w:p>
      <w:pPr>
        <w:pStyle w:val="FirstParagraph"/>
      </w:pPr>
      <w:r>
        <w:t xml:space="preserve">The market in Peru Lima is crowded with both local conglomerates and international competitors. Local firms possess entrenched distribution networks, particularly in the informal sectors that still dominate parts of Peru Lima’s economy. Mason’s advantage lies in its technological infrastructure and global supply chain efficiency, which can be leveraged to offer superior product quality and consistency.</w:t>
      </w:r>
    </w:p>
    <w:bookmarkEnd w:id="25"/>
    <w:bookmarkEnd w:id="26"/>
    <w:bookmarkStart w:id="27" w:name="strategic-framework-for-mason"/>
    <w:p>
      <w:pPr>
        <w:pStyle w:val="Heading2"/>
      </w:pPr>
      <w:r>
        <w:t xml:space="preserve">3. Strategic Framework for Mason</w:t>
      </w:r>
    </w:p>
    <w:p>
      <w:pPr>
        <w:pStyle w:val="FirstParagraph"/>
      </w:pPr>
      <w:r>
        <w:t xml:space="preserve">This section outlines the three-pillar strategy proposed for Mason’s entry into Peru Lima: Compliance, Localization, and Sustainability.</w:t>
      </w:r>
    </w:p>
    <w:p>
      <w:pPr>
        <w:pStyle w:val="BodyText"/>
      </w:pPr>
      <w:r>
        <w:t xml:space="preserve">Pillar</w:t>
      </w:r>
    </w:p>
    <w:bookmarkEnd w:id="27"/>
    <w:p>
      <w:pPr>
        <w:pStyle w:val="BodyText"/>
      </w:pPr>
      <w:r>
        <w:t xml:space="preserve">Action Item</w:t>
      </w:r>
    </w:p>
    <w:p>
      <w:pPr>
        <w:pStyle w:val="BodyText"/>
      </w:pPr>
      <w:r>
        <w:t xml:space="preserve">Rationale for Peru Lima Context</w:t>
      </w:r>
    </w:p>
    <w:p>
      <w:pPr>
        <w:pStyle w:val="BodyText"/>
      </w:pPr>
      <w:r>
        <w:rPr>
          <w:bCs/>
          <w:b/>
        </w:rPr>
        <w:t xml:space="preserve">I. Regulatory Compliance</w:t>
      </w:r>
    </w:p>
    <w:p>
      <w:pPr>
        <w:pStyle w:val="BodyText"/>
      </w:pPr>
      <w:r>
        <w:t xml:space="preserve">Audit all operations against Peruvian tax and labor laws.</w:t>
      </w:r>
    </w:p>
    <w:p>
      <w:pPr>
        <w:pStyle w:val="BodyText"/>
      </w:pPr>
      <w:r>
        <w:t xml:space="preserve">The bureaucratic landscape in Peru Lima can be slow; proactive compliance prevents operational delays.</w:t>
      </w:r>
    </w:p>
    <w:p>
      <w:pPr>
        <w:pStyle w:val="BodyText"/>
      </w:pPr>
      <w:r>
        <w:rPr>
          <w:bCs/>
          <w:b/>
        </w:rPr>
        <w:t xml:space="preserve">I. Localization</w:t>
      </w:r>
    </w:p>
    <w:p>
      <w:pPr>
        <w:pStyle w:val="BodyText"/>
      </w:pPr>
      <w:r>
        <w:t xml:space="preserve">Hire local management teams from Peru Lima.</w:t>
      </w:r>
    </w:p>
    <w:p>
      <w:pPr>
        <w:pStyle w:val="BodyText"/>
      </w:pPr>
      <w:r>
        <w:t xml:space="preserve">Native leadership ensures cultural alignment and facilitates negotiations with government bodies in Peru Lima.</w:t>
      </w:r>
    </w:p>
    <w:p>
      <w:pPr>
        <w:pStyle w:val="BodyText"/>
      </w:pPr>
      <w:r>
        <w:rPr>
          <w:bCs/>
          <w:b/>
        </w:rPr>
        <w:t xml:space="preserve">I. Sustainability</w:t>
      </w:r>
    </w:p>
    <w:p>
      <w:pPr>
        <w:pStyle w:val="BodyText"/>
      </w:pPr>
      <w:r>
        <w:t xml:space="preserve">Pilot green logistics initiatives in Peru Lima districts.</w:t>
      </w:r>
    </w:p>
    <w:p>
      <w:pPr>
        <w:pStyle w:val="BodyText"/>
      </w:pPr>
      <w:r>
        <w:rPr>
          <w:iCs/>
          <w:i/>
        </w:rPr>
        <w:t xml:space="preserve">Note: The table above summarizes key strategic pillars. Detailed implementation plans are available in the accompanying technical appendix.</w:t>
      </w:r>
    </w:p>
    <w:bookmarkStart w:id="28" w:name="regulatory-environment"/>
    <w:p>
      <w:pPr>
        <w:pStyle w:val="Heading3"/>
      </w:pPr>
      <w:r>
        <w:t xml:space="preserve">3.1 Regulatory Environment</w:t>
      </w:r>
    </w:p>
    <w:p>
      <w:pPr>
        <w:pStyle w:val="FirstParagraph"/>
      </w:pPr>
      <w:r>
        <w:t xml:space="preserve">Navigating the legal framework of Peru Lima requires specialized legal counsel. Recent reforms in Peru have aimed to streamline business registration, yet permits for construction and importation in Peru Lima remain rigorous. Mason must establish a robust government relations department within its first six months of operation in Peru Lima to mitigate regulatory risk.</w:t>
      </w:r>
    </w:p>
    <w:bookmarkEnd w:id="28"/>
    <w:bookmarkStart w:id="29" w:name="localized-marketing-strategy"/>
    <w:p>
      <w:pPr>
        <w:pStyle w:val="Heading3"/>
      </w:pPr>
      <w:r>
        <w:t xml:space="preserve">3.2 Localized Marketing Strategy</w:t>
      </w:r>
    </w:p>
    <w:p>
      <w:pPr>
        <w:pStyle w:val="FirstParagraph"/>
      </w:pPr>
      <w:r>
        <w:t xml:space="preserve">Mason’s marketing campaign should leverage digital platforms popular in Peru Lima, such as WhatsApp Business and Instagram, which are widely used for commercial interactions. Furthermore, partnerships with local influencers and community leaders in districts like Miraflores and San Isidro can enhance brand credibility among the affluent demographic of Peru Lima.</w:t>
      </w:r>
    </w:p>
    <w:bookmarkEnd w:id="29"/>
    <w:bookmarkStart w:id="30" w:name="operational-challenges-and-mitigation"/>
    <w:p>
      <w:pPr>
        <w:pStyle w:val="Heading2"/>
      </w:pPr>
      <w:r>
        <w:t xml:space="preserve">4. Operational Challenges and Mitigation</w:t>
      </w:r>
    </w:p>
    <w:p>
      <w:pPr>
        <w:pStyle w:val="FirstParagraph"/>
      </w:pPr>
      <w:r>
        <w:t xml:space="preserve">Operating in Peru Lima is not without significant hurdles. Infrastructure disparities between central districts and peripheral areas can complicate last-mile delivery for Mason’s logistics network. To address this, Mason should adopt a hybrid distribution model, utilizing central warehouses in the industrial zones of Callao (adjacent to Peru Lima) while maintaining small fulfillment centers within key districts of Peru Lima.</w:t>
      </w:r>
    </w:p>
    <w:p>
      <w:pPr>
        <w:pStyle w:val="BodyText"/>
      </w:pPr>
      <w:r>
        <w:t xml:space="preserve">Additionally, talent acquisition in Peru Lima faces competition from established multinationals. Mason must offer competitive compensation packages that include benefits highly valued by Peruvian workers, such as social security bonuses and flexible work arrangements. Investing in training programs tailored to the specific needs of the workforce in Peru Lima will also foster loyalty and reduce turnover rates.</w:t>
      </w:r>
    </w:p>
    <w:bookmarkEnd w:id="30"/>
    <w:bookmarkStart w:id="31" w:name="conclusion-pathways-for-success"/>
    <w:p>
      <w:pPr>
        <w:pStyle w:val="Heading2"/>
      </w:pPr>
      <w:r>
        <w:t xml:space="preserve">5. Conclusion: Pathways for Success</w:t>
      </w:r>
    </w:p>
    <w:p>
      <w:pPr>
        <w:pStyle w:val="FirstParagraph"/>
      </w:pPr>
      <w:r>
        <w:t xml:space="preserve">In conclusion, the potential for Mason in Peru Lima is substantial, provided that a strategy grounded in deep local understanding and operational agility is implemented. The market dynamics of Peru Lima offer a fertile ground for innovation and growth. By prioritizing regulatory compliance, embracing cultural localization, and committing to sustainable practices, Mason can establish itself as a leader in the Peruvian market.</w:t>
      </w:r>
    </w:p>
    <w:p>
      <w:pPr>
        <w:pStyle w:val="BodyText"/>
      </w:pPr>
      <w:r>
        <w:t xml:space="preserve">This academic presentation underscores that success in Peru Lima is not achieved through mere capital injection but through sustained engagement with the socio-economic fabric of the region. We recommend immediate pilot programs in select districts of Peru Lima to test operational hypotheses before scaling nationwide. The insights derived from this initial phase will be critical for refining Mason’s long-term strategy across the broader Latin American market.</w:t>
      </w:r>
    </w:p>
    <w:bookmarkEnd w:id="31"/>
    <w:bookmarkStart w:id="32" w:name="references-and-further-reading"/>
    <w:p>
      <w:pPr>
        <w:pStyle w:val="Heading2"/>
      </w:pPr>
      <w:r>
        <w:t xml:space="preserve">6. References and Further Reading</w:t>
      </w:r>
    </w:p>
    <w:p>
      <w:pPr>
        <w:numPr>
          <w:ilvl w:val="0"/>
          <w:numId w:val="1003"/>
        </w:numPr>
        <w:pStyle w:val="Compact"/>
      </w:pPr>
      <w:r>
        <w:t xml:space="preserve">Instituto Nacional de Estadística e Informática (INEI). (2023). Economic Indicators of Peru Lima.</w:t>
      </w:r>
    </w:p>
    <w:p>
      <w:pPr>
        <w:numPr>
          <w:ilvl w:val="0"/>
          <w:numId w:val="1003"/>
        </w:numPr>
        <w:pStyle w:val="Compact"/>
      </w:pPr>
      <w:r>
        <w:t xml:space="preserve">Mason Global Strategy Report. (2023). Emerging Markets Entry Framework.</w:t>
      </w:r>
    </w:p>
    <w:p>
      <w:pPr>
        <w:numPr>
          <w:ilvl w:val="0"/>
          <w:numId w:val="1003"/>
        </w:numPr>
        <w:pStyle w:val="Compact"/>
      </w:pPr>
      <w:r>
        <w:t xml:space="preserve">Banco Central de Reserva del Perú. (2023). Annual Macroeconomic Review.</w:t>
      </w:r>
    </w:p>
    <w:bookmarkEnd w:id="32"/>
    <w:p>
      <w:pPr>
        <w:pStyle w:val="FirstParagraph"/>
      </w:pPr>
      <w:r>
        <w:rPr>
          <w:bCs/>
          <w:b/>
        </w:rPr>
        <w:t xml:space="preserve">Acknowledgments:</w:t>
      </w:r>
      <w:r>
        <w:t xml:space="preserve"> </w:t>
      </w:r>
      <w:r>
        <w:t xml:space="preserve">We thank the research team at the University of Lima for their assistance in data collection regarding consumer behavior in Peru Lima. This document is intended for academic and professional discussion purposes only.</w:t>
      </w:r>
    </w:p>
    <w:p>
      <w:pPr>
        <w:pStyle w:val="BodyText"/>
      </w:pPr>
      <w:r>
        <w:t xml:space="preserve">© 2023 Mason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Analysis for the Peruvian Market in Peru Lima</dc:title>
  <dc:creator/>
  <dc:language>en</dc:language>
  <cp:keywords/>
  <dcterms:created xsi:type="dcterms:W3CDTF">2026-07-29T13:34:27Z</dcterms:created>
  <dcterms:modified xsi:type="dcterms:W3CDTF">2026-07-29T13:34:27Z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