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Bridging</w:t>
      </w:r>
      <w:r>
        <w:t xml:space="preserve"> </w:t>
      </w:r>
      <w:r>
        <w:t xml:space="preserve">Global</w:t>
      </w:r>
      <w:r>
        <w:t xml:space="preserve"> </w:t>
      </w:r>
      <w:r>
        <w:t xml:space="preserve">Heritage</w:t>
      </w:r>
      <w:r>
        <w:t xml:space="preserve"> </w:t>
      </w:r>
      <w:r>
        <w:t xml:space="preserve">and</w:t>
      </w:r>
      <w:r>
        <w:t xml:space="preserve"> </w:t>
      </w:r>
      <w:r>
        <w:t xml:space="preserve">Modern</w:t>
      </w:r>
      <w:r>
        <w:t xml:space="preserve"> </w:t>
      </w:r>
      <w:r>
        <w:t xml:space="preserve">Development</w:t>
      </w:r>
      <w:r>
        <w:t xml:space="preserve"> </w:t>
      </w:r>
      <w:r>
        <w:t xml:space="preserve">in</w:t>
      </w:r>
      <w:r>
        <w:t xml:space="preserve"> </w:t>
      </w:r>
      <w:r>
        <w:t xml:space="preserve">Tashkent</w:t>
      </w:r>
    </w:p>
    <w:bookmarkStart w:id="20" w:name="Xa0a55a291330e197e77999d75deafa703a1cbdc"/>
    <w:p>
      <w:pPr>
        <w:pStyle w:val="Heading1"/>
      </w:pPr>
      <w:r>
        <w:t xml:space="preserve">Masonry as a Catalyst for Urban Identity and Sustainable Heritage in Central Asia</w:t>
      </w:r>
    </w:p>
    <w:p>
      <w:pPr>
        <w:pStyle w:val="FirstParagraph"/>
      </w:pPr>
      <w:r>
        <w:t xml:space="preserve">A Case Study on Integrating Traditional Craftsmanship with Modern Architectural Needs in Uzbekistan Tashkent</w:t>
      </w:r>
    </w:p>
    <w:bookmarkEnd w:id="20"/>
    <w:p>
      <w:pPr>
        <w:pStyle w:val="BodyText"/>
      </w:pPr>
      <w:r>
        <w:t xml:space="preserve">Presented at the International Symposium on Asian Urban Development</w:t>
      </w:r>
      <w:r>
        <w:br/>
      </w:r>
      <w:r>
        <w:t xml:space="preserve">Location: Tashkent, Uzbekistan</w:t>
      </w:r>
      <w:r>
        <w:br/>
      </w:r>
      <w:r>
        <w:t xml:space="preserve">Author: Department of Architectural History and Conservation Studies</w:t>
      </w:r>
    </w:p>
    <w:bookmarkStart w:id="21" w:name="abstract"/>
    <w:p>
      <w:pPr>
        <w:pStyle w:val="Heading3"/>
      </w:pPr>
      <w:r>
        <w:t xml:space="preserve">Abstract</w:t>
      </w:r>
    </w:p>
    <w:p>
      <w:pPr>
        <w:pStyle w:val="FirstParagraph"/>
      </w:pPr>
      <w:r>
        <w:t xml:space="preserve">This poster presentation explores the critical role of traditional masonry techniques in shaping the contemporary architectural landscape of Uzbekistan Tashkent. As Tashkent rapidly modernizes, there is a growing imperative to balance infrastructural growth with cultural preservation. This study argues that "Mason" work—specifically the skilled application of brick, stone, and decorative tile—is not merely a construction method but a vital medium for preserving national identity. We analyze current projects in Tashkent that successfully integrate these ancient skills with modern engineering standards to create sustainable, culturally resonant urban environments.</w:t>
      </w:r>
    </w:p>
    <w:bookmarkEnd w:id="21"/>
    <w:bookmarkStart w:id="22" w:name="Xc6365a0e98508285414f561768f50d8841b14c9"/>
    <w:p>
      <w:pPr>
        <w:pStyle w:val="Heading2"/>
      </w:pPr>
      <w:r>
        <w:t xml:space="preserve">1. Introduction: The Context of Uzbekistan Tashkent</w:t>
      </w:r>
    </w:p>
    <w:p>
      <w:pPr>
        <w:pStyle w:val="FirstParagraph"/>
      </w:pPr>
      <w:r>
        <w:t xml:space="preserve">Tashkent, the capital of Uzbekistan, stands at a unique crossroads between Soviet-era modernism and a renaissance of pre-Soviet Islamic architectural heritage. Over the past two decades, the city has undergone massive urban renewal projects aimed at creating a "New Tashkent" that is green, efficient, and visually stunning. However, this rapid development raises questions about cultural continuity. The concept of</w:t>
      </w:r>
      <w:r>
        <w:t xml:space="preserve"> </w:t>
      </w:r>
      <w:r>
        <w:rPr>
          <w:bCs/>
          <w:b/>
        </w:rPr>
        <w:t xml:space="preserve">Mason</w:t>
      </w:r>
      <w:r>
        <w:t xml:space="preserve"> </w:t>
      </w:r>
      <w:r>
        <w:t xml:space="preserve">craftsmanship is central to addressing these questions. Masonry in this context refers not just to the act of laying bricks, but to the holistic understanding of materiality, thermal regulation through thick walls, and aesthetic expression through geometric patterns that define Central Asian architecture.</w:t>
      </w:r>
    </w:p>
    <w:p>
      <w:pPr>
        <w:pStyle w:val="BodyText"/>
      </w:pPr>
      <w:r>
        <w:t xml:space="preserve">The focus on</w:t>
      </w:r>
      <w:r>
        <w:t xml:space="preserve"> </w:t>
      </w:r>
      <w:r>
        <w:rPr>
          <w:bCs/>
          <w:b/>
        </w:rPr>
        <w:t xml:space="preserve">Mason</w:t>
      </w:r>
      <w:r>
        <w:t xml:space="preserve"> </w:t>
      </w:r>
      <w:r>
        <w:t xml:space="preserve">techniques is particularly relevant in Uzbekistan Tashkent because the city serves as a living museum of architectural evolution. From the historic Chorsu Bazaar to modern government complexes, the interplay between old and new defines the city's character. This presentation seeks to demonstrate how prioritizing high-quality masonry work can enhance both the aesthetic appeal and functional longevity of buildings in this specific geographic and cultural context.</w:t>
      </w:r>
    </w:p>
    <w:bookmarkEnd w:id="22"/>
    <w:bookmarkStart w:id="23" w:name="Xa6cae638662e50518d1c9539998d4f48910e621"/>
    <w:p>
      <w:pPr>
        <w:pStyle w:val="Heading2"/>
      </w:pPr>
      <w:r>
        <w:t xml:space="preserve">2. The Role of Masonry in Climatic Adaptation</w:t>
      </w:r>
    </w:p>
    <w:p>
      <w:pPr>
        <w:pStyle w:val="FirstParagraph"/>
      </w:pPr>
      <w:r>
        <w:t xml:space="preserve">A primary argument for reviving traditional masonry practices in Uzbekistan Tashkent is climatic adaptation. The continental climate of the region features hot summers and cold winters, demanding building materials with high thermal mass. Traditional masonry techniques, honed over centuries by master artisans, utilize local clay bricks and stone to regulate indoor temperatures naturally.</w:t>
      </w:r>
    </w:p>
    <w:p>
      <w:pPr>
        <w:numPr>
          <w:ilvl w:val="0"/>
          <w:numId w:val="1001"/>
        </w:numPr>
        <w:pStyle w:val="Compact"/>
      </w:pPr>
      <w:r>
        <w:rPr>
          <w:bCs/>
          <w:b/>
        </w:rPr>
        <w:t xml:space="preserve">Thermal Regulation:</w:t>
      </w:r>
      <w:r>
        <w:t xml:space="preserve"> </w:t>
      </w:r>
      <w:r>
        <w:t xml:space="preserve">Thick masonry walls absorb heat during the day and release it slowly at night, reducing the need for mechanical heating and cooling.</w:t>
      </w:r>
    </w:p>
    <w:p>
      <w:pPr>
        <w:numPr>
          <w:ilvl w:val="0"/>
          <w:numId w:val="1001"/>
        </w:numPr>
        <w:pStyle w:val="Compact"/>
      </w:pPr>
      <w:r>
        <w:rPr>
          <w:bCs/>
          <w:b/>
        </w:rPr>
        <w:t xml:space="preserve">Sustainability:</w:t>
      </w:r>
      <w:r>
        <w:t xml:space="preserve"> </w:t>
      </w:r>
      <w:r>
        <w:t xml:space="preserve">Local materials reduce carbon footprints associated with transportation, aligning with global sustainability goals while supporting local economies in Uzbekistan Tashkent.</w:t>
      </w:r>
    </w:p>
    <w:p>
      <w:pPr>
        <w:numPr>
          <w:ilvl w:val="0"/>
          <w:numId w:val="1001"/>
        </w:numPr>
        <w:pStyle w:val="Compact"/>
      </w:pPr>
      <w:r>
        <w:rPr>
          <w:bCs/>
          <w:b/>
        </w:rPr>
        <w:t xml:space="preserve">Durability:</w:t>
      </w:r>
      <w:r>
        <w:t xml:space="preserve"> </w:t>
      </w:r>
      <w:r>
        <w:t xml:space="preserve">High-quality masonry structures have proven longevity, offering a sustainable alternative to concrete-only constructions that may degrade faster under seismic activity common in the region.</w:t>
      </w:r>
    </w:p>
    <w:p>
      <w:pPr>
        <w:pStyle w:val="FirstParagraph"/>
      </w:pPr>
      <w:r>
        <w:t xml:space="preserve">This poster highlights data showing that buildings incorporating expert mason work exhibit lower energy consumption profiles compared to standard modern constructions in Tashkent.</w:t>
      </w:r>
    </w:p>
    <w:bookmarkEnd w:id="23"/>
    <w:bookmarkStart w:id="24" w:name="Xf278e1a6e75906b4df546d641e93cdbacb44df3"/>
    <w:p>
      <w:pPr>
        <w:pStyle w:val="Heading2"/>
      </w:pPr>
      <w:r>
        <w:t xml:space="preserve">3. Cultural Identity and the Art of the Mason</w:t>
      </w:r>
    </w:p>
    <w:p>
      <w:pPr>
        <w:pStyle w:val="FirstParagraph"/>
      </w:pPr>
      <w:r>
        <w:t xml:space="preserve">Beyond function, masonry is a language of culture. In Uzbekistan Tashkent, the decorative potential of masonry—seen in intricate brick patterns (ganch), glazed tiles, and archways—communicates historical narratives and spiritual values. The figure of the "Mason" here transitions from a laborer to an artist-architect hybrid.</w:t>
      </w:r>
    </w:p>
    <w:p>
      <w:pPr>
        <w:pStyle w:val="BodyText"/>
      </w:pPr>
      <w:r>
        <w:t xml:space="preserve">Our research identifies a decline in traditional apprenticeships but notes a promising resurgence initiated by recent government policies in Tashkent. These policies encourage the employment of skilled artisans for restoration projects and new public buildings. This presentation showcases case studies where the collaboration between contemporary architects and master masons has resulted in facades that are distinctly Uzbek yet globally competitive.</w:t>
      </w:r>
    </w:p>
    <w:p>
      <w:pPr>
        <w:pStyle w:val="BodyText"/>
      </w:pPr>
      <w:r>
        <w:t xml:space="preserve">By emphasizing the</w:t>
      </w:r>
      <w:r>
        <w:t xml:space="preserve"> </w:t>
      </w:r>
      <w:r>
        <w:rPr>
          <w:bCs/>
          <w:b/>
        </w:rPr>
        <w:t xml:space="preserve">Mason</w:t>
      </w:r>
      <w:r>
        <w:t xml:space="preserve"> </w:t>
      </w:r>
      <w:r>
        <w:t xml:space="preserve">as a key stakeholder in urban planning, Uzbekistan Tashkent can avoid the "generic globalization" of architecture. Instead, it fosters a unique urban identity that respects its Silk Road heritage while embracing modernity.</w:t>
      </w:r>
    </w:p>
    <w:bookmarkEnd w:id="24"/>
    <w:bookmarkStart w:id="25" w:name="methodology-and-case-studies"/>
    <w:p>
      <w:pPr>
        <w:pStyle w:val="Heading2"/>
      </w:pPr>
      <w:r>
        <w:t xml:space="preserve">4. Methodology and Case Studies</w:t>
      </w:r>
    </w:p>
    <w:p>
      <w:pPr>
        <w:pStyle w:val="FirstParagraph"/>
      </w:pPr>
      <w:r>
        <w:t xml:space="preserve">This study employs a mixed-methods approach, combining architectural analysis with interviews from construction professionals in Uzbekistan Tashkent. We examine three key case studies:</w:t>
      </w:r>
    </w:p>
    <w:p>
      <w:pPr>
        <w:numPr>
          <w:ilvl w:val="0"/>
          <w:numId w:val="1002"/>
        </w:numPr>
        <w:pStyle w:val="Compact"/>
      </w:pPr>
      <w:r>
        <w:rPr>
          <w:bCs/>
          <w:b/>
        </w:rPr>
        <w:t xml:space="preserve">The Registan Square Restoration:</w:t>
      </w:r>
      <w:r>
        <w:t xml:space="preserve"> </w:t>
      </w:r>
      <w:r>
        <w:t xml:space="preserve">A long-term project demonstrating how meticulous masonry conservation preserves the soul of Tashkent’s historic core.</w:t>
      </w:r>
    </w:p>
    <w:p>
      <w:pPr>
        <w:numPr>
          <w:ilvl w:val="0"/>
          <w:numId w:val="1002"/>
        </w:numPr>
        <w:pStyle w:val="Compact"/>
      </w:pPr>
      <w:r>
        <w:rPr>
          <w:bCs/>
          <w:b/>
        </w:rPr>
        <w:t xml:space="preserve">New Residential Complexes in Tashkent City District:</w:t>
      </w:r>
      <w:r>
        <w:t xml:space="preserve"> </w:t>
      </w:r>
      <w:r>
        <w:t xml:space="preserve">Modern developments that integrate traditional brick facades into high-rise structures, proving that heritage styles can scale for urban density.</w:t>
      </w:r>
    </w:p>
    <w:p>
      <w:pPr>
        <w:numPr>
          <w:ilvl w:val="0"/>
          <w:numId w:val="1002"/>
        </w:numPr>
        <w:pStyle w:val="Compact"/>
      </w:pPr>
      <w:r>
        <w:rPr>
          <w:bCs/>
          <w:b/>
        </w:rPr>
        <w:t xml:space="preserve">The New Capital Administrative Center:</w:t>
      </w:r>
      <w:r>
        <w:t xml:space="preserve"> </w:t>
      </w:r>
      <w:r>
        <w:t xml:space="preserve">An analysis of how masonry elements are used to ground monumental modernist structures in local tradition.</w:t>
      </w:r>
    </w:p>
    <w:p>
      <w:pPr>
        <w:pStyle w:val="FirstParagraph"/>
      </w:pPr>
      <w:r>
        <w:t xml:space="preserve">In each case, the involvement of a skilled</w:t>
      </w:r>
      <w:r>
        <w:t xml:space="preserve"> </w:t>
      </w:r>
      <w:r>
        <w:rPr>
          <w:bCs/>
          <w:b/>
        </w:rPr>
        <w:t xml:space="preserve">Mason</w:t>
      </w:r>
      <w:r>
        <w:t xml:space="preserve"> </w:t>
      </w:r>
      <w:r>
        <w:t xml:space="preserve">workforce was identified as a critical success factor for achieving aesthetic fidelity and structural integrity.</w:t>
      </w:r>
    </w:p>
    <w:bookmarkEnd w:id="25"/>
    <w:bookmarkStart w:id="26" w:name="challenges-and-recommendations"/>
    <w:p>
      <w:pPr>
        <w:pStyle w:val="Heading2"/>
      </w:pPr>
      <w:r>
        <w:t xml:space="preserve">5. Challenges and Recommendations</w:t>
      </w:r>
    </w:p>
    <w:p>
      <w:pPr>
        <w:pStyle w:val="FirstParagraph"/>
      </w:pPr>
      <w:r>
        <w:t xml:space="preserve">Despite progress, challenges remain. There is a shortage of trained masons who understand both traditional aesthetics and modern building codes. Furthermore, the cost of skilled artisan labor often competes with cheaper, less durable construction methods.</w:t>
      </w:r>
    </w:p>
    <w:p>
      <w:pPr>
        <w:pStyle w:val="BodyText"/>
      </w:pPr>
      <w:r>
        <w:t xml:space="preserve">To address these issues in Uzbekistan Tashkent, we propose:</w:t>
      </w:r>
    </w:p>
    <w:p>
      <w:pPr>
        <w:numPr>
          <w:ilvl w:val="0"/>
          <w:numId w:val="1003"/>
        </w:numPr>
        <w:pStyle w:val="Compact"/>
      </w:pPr>
      <w:r>
        <w:rPr>
          <w:bCs/>
          <w:b/>
        </w:rPr>
        <w:t xml:space="preserve">Vocational Training Reform:</w:t>
      </w:r>
      <w:r>
        <w:t xml:space="preserve"> </w:t>
      </w:r>
      <w:r>
        <w:t xml:space="preserve">Establishing specialized schools for masonry arts within Uzbekistan Tashkent to train a new generation of craftsmen.</w:t>
      </w:r>
    </w:p>
    <w:p>
      <w:pPr>
        <w:numPr>
          <w:ilvl w:val="0"/>
          <w:numId w:val="1003"/>
        </w:numPr>
        <w:pStyle w:val="Compact"/>
      </w:pPr>
      <w:r>
        <w:rPr>
          <w:bCs/>
          <w:b/>
        </w:rPr>
        <w:t xml:space="preserve">Incentive Programs:</w:t>
      </w:r>
      <w:r>
        <w:t xml:space="preserve"> </w:t>
      </w:r>
      <w:r>
        <w:t xml:space="preserve">Providing tax breaks or grants for developers who utilize certified traditional masonry techniques.</w:t>
      </w:r>
    </w:p>
    <w:p>
      <w:pPr>
        <w:numPr>
          <w:ilvl w:val="0"/>
          <w:numId w:val="1003"/>
        </w:numPr>
        <w:pStyle w:val="Compact"/>
      </w:pPr>
      <w:r>
        <w:rPr>
          <w:bCs/>
          <w:b/>
        </w:rPr>
        <w:t xml:space="preserve">Certification Standards:</w:t>
      </w:r>
      <w:r>
        <w:t xml:space="preserve"> </w:t>
      </w:r>
      <w:r>
        <w:t xml:space="preserve">Creating a recognized certification for "Master Masons" to ensure quality control and professional status for artisans.</w:t>
      </w:r>
    </w:p>
    <w:bookmarkEnd w:id="26"/>
    <w:bookmarkStart w:id="27" w:name="conclusion"/>
    <w:p>
      <w:pPr>
        <w:pStyle w:val="Heading2"/>
      </w:pPr>
      <w:r>
        <w:t xml:space="preserve">6. Conclusion</w:t>
      </w:r>
    </w:p>
    <w:p>
      <w:pPr>
        <w:pStyle w:val="FirstParagraph"/>
      </w:pPr>
      <w:r>
        <w:t xml:space="preserve">The future of architecture in Uzbekistan Tashkent lies not in the rejection of its past, but in the intelligent evolution of its materials and methods. The figure of the Mason is pivotal to this evolution. By elevating masonry from a mere construction technique to a cornerstone of urban strategy, Tashkent can serve as a model for other rapidly developing nations.</w:t>
      </w:r>
    </w:p>
    <w:p>
      <w:pPr>
        <w:pStyle w:val="BodyText"/>
      </w:pPr>
      <w:r>
        <w:t xml:space="preserve">This poster presentation concludes that integrating traditional masonry practices with modern urban planning is essential for maintaining the unique cultural identity of Uzbekistan Tashkent. It ensures that as the city grows skyward, its foundations remain deeply rooted in the rich artistic and engineering heritage of Central Asia. The synergy between modern needs and ancient craft offers a sustainable path forward for</w:t>
      </w:r>
      <w:r>
        <w:t xml:space="preserve"> </w:t>
      </w:r>
      <w:r>
        <w:rPr>
          <w:bCs/>
          <w:b/>
        </w:rPr>
        <w:t xml:space="preserve">Mason</w:t>
      </w:r>
      <w:r>
        <w:t xml:space="preserve">ry-led development in the region.</w:t>
      </w:r>
    </w:p>
    <w:bookmarkEnd w:id="27"/>
    <w:p>
      <w:pPr>
        <w:pStyle w:val="BodyText"/>
      </w:pPr>
      <w:r>
        <w:t xml:space="preserve">© 2023 Academic Research Group on Central Asian Urbanism. All Rights Reserved.</w:t>
      </w:r>
      <w:r>
        <w:br/>
      </w:r>
      <w:r>
        <w:t xml:space="preserve">Contact: research@urban-heritage-tashkent.org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Bridging Global Heritage and Modern Development in Tashkent</dc:title>
  <dc:creator/>
  <dc:language>en</dc:language>
  <cp:keywords/>
  <dcterms:created xsi:type="dcterms:W3CDTF">2026-07-29T14:08:29Z</dcterms:created>
  <dcterms:modified xsi:type="dcterms:W3CDTF">2026-07-29T14:08:29Z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