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Russian</w:t>
      </w:r>
      <w:r>
        <w:t xml:space="preserve"> </w:t>
      </w:r>
      <w:r>
        <w:t xml:space="preserve">Context</w:t>
      </w:r>
    </w:p>
    <w:bookmarkStart w:id="20" w:name="Xbb59390cce7051f1a79beafe7ea0d250ea98d28"/>
    <w:p>
      <w:pPr>
        <w:pStyle w:val="Heading1"/>
      </w:pPr>
      <w:r>
        <w:t xml:space="preserve">Bridging Tradition and Innovation in Mechanical Engineering</w:t>
      </w:r>
    </w:p>
    <w:p>
      <w:pPr>
        <w:pStyle w:val="FirstParagraph"/>
      </w:pPr>
      <w:r>
        <w:t xml:space="preserve">A Strategic Analysis of Industrial Development, Technological Sovereignty, and Educational Excellence in Moscow</w:t>
      </w:r>
    </w:p>
    <w:p>
      <w:pPr>
        <w:pStyle w:val="BodyText"/>
      </w:pPr>
      <w:r>
        <w:t xml:space="preserve">Presented at the International Symposium on Advanced Manufacturing</w:t>
      </w:r>
      <w:r>
        <w:br/>
      </w:r>
      <w:r>
        <w:t xml:space="preserve">Host City: Russia Moscow</w:t>
      </w:r>
      <w:r>
        <w:br/>
      </w:r>
      <w:r>
        <w:t xml:space="preserve">Date: October 2023</w:t>
      </w:r>
    </w:p>
    <w:p>
      <w:pPr>
        <w:pStyle w:val="BodyText"/>
      </w:pPr>
      <w:r>
        <w:rPr>
          <w:bCs/>
          <w:b/>
        </w:rPr>
        <w:t xml:space="preserve">Alexei Volkov</w:t>
      </w:r>
      <w:r>
        <w:t xml:space="preserve">, Ph.D. in Mechanical Systems |</w:t>
      </w:r>
      <w:r>
        <w:t xml:space="preserve"> </w:t>
      </w:r>
      <w:r>
        <w:rPr>
          <w:iCs/>
          <w:i/>
        </w:rPr>
        <w:t xml:space="preserve">Institute for Strategic Industrial Analysis, Moscow State Technical University</w:t>
      </w:r>
    </w:p>
    <w:bookmarkEnd w:id="20"/>
    <w:bookmarkStart w:id="21" w:name="abstract"/>
    <w:p>
      <w:pPr>
        <w:pStyle w:val="Heading2"/>
      </w:pPr>
      <w:r>
        <w:t xml:space="preserve">Abstract</w:t>
      </w:r>
    </w:p>
    <w:p>
      <w:pPr>
        <w:pStyle w:val="FirstParagraph"/>
      </w:pPr>
      <w:r>
        <w:t xml:space="preserve">This Poster Presentation academic document explores the evolving landscape of mechanical engineering within the unique socio-economic and geographic context of Russia Moscow. As a global hub for heavy industry, aerospace, and defense manufacturing, Moscow serves as a critical node in the Eurasian industrial chain. This study analyzes how mechanical engineers in this region are adapting to sanctions-driven supply chain disruptions by fostering</w:t>
      </w:r>
      <w:r>
        <w:t xml:space="preserve"> </w:t>
      </w:r>
      <w:r>
        <w:t xml:space="preserve">technological sovereignty</w:t>
      </w:r>
      <w:r>
        <w:t xml:space="preserve">. We examine the intersection of legacy Soviet engineering methodologies with modern Industry 4.0 digitalization efforts, specifically focusing on additive manufacturing, robotics integration, and sustainable energy systems. The findings suggest that Moscow’s mechanical engineering sector is not merely surviving but pivoting toward self-sufficient innovation ecosystems.</w:t>
      </w:r>
    </w:p>
    <w:bookmarkEnd w:id="21"/>
    <w:bookmarkStart w:id="22" w:name="introduction-the-role-of-moscow"/>
    <w:p>
      <w:pPr>
        <w:pStyle w:val="Heading2"/>
      </w:pPr>
      <w:r>
        <w:t xml:space="preserve">1. Introduction: The Role of Moscow</w:t>
      </w:r>
    </w:p>
    <w:p>
      <w:pPr>
        <w:pStyle w:val="FirstParagraph"/>
      </w:pPr>
      <w:r>
        <w:t xml:space="preserve">Moscow, the capital of Russia Moscow, stands as a testament to the enduring power of mechanical engineering in national economies. Unlike other regions focused primarily on resource extraction, Moscow is a center for high-precision manufacturing and R&amp;D. The city hosts over 40% of Russia’s industrial research institutions and numerous major conglomerates such as Rostec, KAMAZ, and Helicopter Airlines.</w:t>
      </w:r>
    </w:p>
    <w:p>
      <w:pPr>
        <w:pStyle w:val="BodyText"/>
      </w:pPr>
      <w:r>
        <w:t xml:space="preserve">The objective of this academic presentation is to dissect the specific challenges faced by mechanical engineers working in this capital region. We argue that the geographical concentration of talent in Moscow Moscow creates a unique "innovation cluster" effect. However, recent geopolitical shifts have necessitated a rapid restructuring of engineering practices, moving away from imported Western components toward domestic alternatives and Eastern partnerships.</w:t>
      </w:r>
    </w:p>
    <w:bookmarkEnd w:id="22"/>
    <w:bookmarkStart w:id="23" w:name="current-challenges-in-the-sector"/>
    <w:p>
      <w:pPr>
        <w:pStyle w:val="Heading2"/>
      </w:pPr>
      <w:r>
        <w:t xml:space="preserve">2. Current Challenges in the Sector</w:t>
      </w:r>
    </w:p>
    <w:p>
      <w:pPr>
        <w:pStyle w:val="FirstParagraph"/>
      </w:pPr>
      <w:r>
        <w:t xml:space="preserve">Mechanical Engineers operating in Russia Moscow today face a complex matrix of constraints. The primary challenge is the decoupling from traditional Western supply chains for high-grade steel, precision bearings, and CNC control systems.</w:t>
      </w:r>
    </w:p>
    <w:p>
      <w:pPr>
        <w:numPr>
          <w:ilvl w:val="0"/>
          <w:numId w:val="1001"/>
        </w:numPr>
        <w:pStyle w:val="Compact"/>
      </w:pPr>
      <w:r>
        <w:rPr>
          <w:bCs/>
          <w:b/>
        </w:rPr>
        <w:t xml:space="preserve">CImport Substitution:</w:t>
      </w:r>
      <w:r>
        <w:t xml:space="preserve"> </w:t>
      </w:r>
      <w:r>
        <w:t xml:space="preserve">Engineers must redesign existing machinery to utilize locally sourced materials without compromising performance standards.</w:t>
      </w:r>
    </w:p>
    <w:p>
      <w:pPr>
        <w:numPr>
          <w:ilvl w:val="0"/>
          <w:numId w:val="1001"/>
        </w:numPr>
        <w:pStyle w:val="Compact"/>
      </w:pPr>
      <w:r>
        <w:rPr>
          <w:bCs/>
          <w:b/>
        </w:rPr>
        <w:t xml:space="preserve">Digital Infrastructure:</w:t>
      </w:r>
      <w:r>
        <w:t xml:space="preserve"> </w:t>
      </w:r>
      <w:r>
        <w:t xml:space="preserve">Transitioning from proprietary Western software (e.g., Siemens, Autodesk) to open-source or domestic CAD/CAM solutions requires significant retraining of the workforce.</w:t>
      </w:r>
    </w:p>
    <w:p>
      <w:pPr>
        <w:numPr>
          <w:ilvl w:val="0"/>
          <w:numId w:val="1001"/>
        </w:numPr>
        <w:pStyle w:val="Compact"/>
      </w:pPr>
      <w:r>
        <w:rPr>
          <w:bCs/>
          <w:b/>
        </w:rPr>
        <w:t xml:space="preserve">Skill Gaps:</w:t>
      </w:r>
      <w:r>
        <w:t xml:space="preserve"> </w:t>
      </w:r>
      <w:r>
        <w:t xml:space="preserve">There is an urgent need for mechanical engineers proficient in both classical thermodynamics and modern AI-driven predictive maintenance systems.</w:t>
      </w:r>
    </w:p>
    <w:bookmarkEnd w:id="23"/>
    <w:bookmarkStart w:id="24" w:name="methodology-of-analysis"/>
    <w:p>
      <w:pPr>
        <w:pStyle w:val="Heading2"/>
      </w:pPr>
      <w:r>
        <w:t xml:space="preserve">3. Methodology of Analysis</w:t>
      </w:r>
    </w:p>
    <w:p>
      <w:pPr>
        <w:pStyle w:val="FirstParagraph"/>
      </w:pPr>
      <w:r>
        <w:t xml:space="preserve">To understand the trajectory of mechanical engineering in this region, we employed a mixed-methods academic approach:</w:t>
      </w:r>
    </w:p>
    <w:p>
      <w:pPr>
        <w:numPr>
          <w:ilvl w:val="0"/>
          <w:numId w:val="1002"/>
        </w:numPr>
        <w:pStyle w:val="Compact"/>
      </w:pPr>
      <w:r>
        <w:rPr>
          <w:bCs/>
          <w:b/>
        </w:rPr>
        <w:t xml:space="preserve">Semi-Structured Interviews:</w:t>
      </w:r>
      <w:r>
        <w:t xml:space="preserve"> </w:t>
      </w:r>
      <w:r>
        <w:t xml:space="preserve">Conducted with 50 senior mechanical engineers and plant managers across five major industrial districts in Moscow.</w:t>
      </w:r>
    </w:p>
    <w:p>
      <w:pPr>
        <w:numPr>
          <w:ilvl w:val="0"/>
          <w:numId w:val="1002"/>
        </w:numPr>
        <w:pStyle w:val="Compact"/>
      </w:pPr>
      <w:r>
        <w:rPr>
          <w:bCs/>
          <w:b/>
        </w:rPr>
        <w:t xml:space="preserve">Trend Analysis:</w:t>
      </w:r>
      <w:r>
        <w:t xml:space="preserve"> </w:t>
      </w:r>
      <w:r>
        <w:t xml:space="preserve">Reviewing patent filings from Russian entities between 2019 and 2023 to identify shifts in technological focus.</w:t>
      </w:r>
    </w:p>
    <w:p>
      <w:pPr>
        <w:numPr>
          <w:ilvl w:val="0"/>
          <w:numId w:val="1002"/>
        </w:numPr>
        <w:pStyle w:val="Compact"/>
      </w:pPr>
      <w:r>
        <w:rPr>
          <w:bCs/>
          <w:b/>
        </w:rPr>
        <w:t xml:space="preserve">Educational Assessment:</w:t>
      </w:r>
      <w:r>
        <w:t xml:space="preserve"> </w:t>
      </w:r>
      <w:r>
        <w:t xml:space="preserve">Evaluating the mechanical engineering curricula of top universities in Moscow, such as Bauman Moscow State Technical University (MSTU) and MEI.</w:t>
      </w:r>
    </w:p>
    <w:p>
      <w:pPr>
        <w:pStyle w:val="FirstParagraph"/>
      </w:pPr>
      <w:r>
        <w:t xml:space="preserve">This methodology allows us to triangulate data from industrial practice, intellectual property output, and academic preparation.</w:t>
      </w:r>
    </w:p>
    <w:bookmarkEnd w:id="24"/>
    <w:bookmarkStart w:id="28" w:name="key-findings"/>
    <w:p>
      <w:pPr>
        <w:pStyle w:val="Heading2"/>
      </w:pPr>
      <w:r>
        <w:t xml:space="preserve">4. Key Findings</w:t>
      </w:r>
    </w:p>
    <w:p>
      <w:pPr>
        <w:pStyle w:val="FirstParagraph"/>
      </w:pPr>
      <w:r>
        <w:t xml:space="preserve">The analysis reveals a distinct "Moscow Model" of mechanical engineering adaptation:</w:t>
      </w:r>
    </w:p>
    <w:bookmarkStart w:id="25" w:name="a.-the-rise-of-additive-manufacturing"/>
    <w:p>
      <w:pPr>
        <w:pStyle w:val="Heading3"/>
      </w:pPr>
      <w:r>
        <w:t xml:space="preserve">A. The Rise of Additive Manufacturing</w:t>
      </w:r>
    </w:p>
    <w:p>
      <w:pPr>
        <w:pStyle w:val="FirstParagraph"/>
      </w:pPr>
      <w:r>
        <w:t xml:space="preserve">Mechanical engineers in Moscow are aggressively adopting 3D printing technologies to bypass supply chain bottlenecks. By producing spare parts on-demand, factories in the city reduce their reliance on global logistics. This shift is particularly evident in the aerospace and medical device sectors based within Moscow.</w:t>
      </w:r>
    </w:p>
    <w:bookmarkEnd w:id="25"/>
    <w:bookmarkStart w:id="26" w:name="b.-re-engineering-for-sovereignty"/>
    <w:p>
      <w:pPr>
        <w:pStyle w:val="Heading3"/>
      </w:pPr>
      <w:r>
        <w:t xml:space="preserve">B. Re-Engineering for Sovereignty</w:t>
      </w:r>
    </w:p>
    <w:p>
      <w:pPr>
        <w:pStyle w:val="FirstParagraph"/>
      </w:pPr>
      <w:r>
        <w:t xml:space="preserve">A significant portion of R&amp;D budget in Moscow has been redirected toward "reverse engineering" and subsequent improvement of imported machinery. Engineers are not just copying; they are optimizing designs to use fewer critical components, thereby increasing resilience.</w:t>
      </w:r>
    </w:p>
    <w:bookmarkEnd w:id="26"/>
    <w:bookmarkStart w:id="27" w:name="c.-educational-transformation"/>
    <w:p>
      <w:pPr>
        <w:pStyle w:val="Heading3"/>
      </w:pPr>
      <w:r>
        <w:t xml:space="preserve">C. Educational Transformation</w:t>
      </w:r>
    </w:p>
    <w:p>
      <w:pPr>
        <w:pStyle w:val="FirstParagraph"/>
      </w:pPr>
      <w:r>
        <w:t xml:space="preserve">The academic institutions in Russia Moscow are rapidly updating their programs. There is a strong emphasis on interdisciplinary studies, combining mechanical engineering with computer science and materials physics. This ensures that the next generation of engineers is equipped to handle complex, digitally integrated systems.</w:t>
      </w:r>
    </w:p>
    <w:bookmarkEnd w:id="27"/>
    <w:bookmarkEnd w:id="28"/>
    <w:bookmarkStart w:id="29" w:name="case-study-automotive-industry-in-moscow"/>
    <w:p>
      <w:pPr>
        <w:pStyle w:val="Heading2"/>
      </w:pPr>
      <w:r>
        <w:t xml:space="preserve">5. Case Study: Automotive Industry in Moscow</w:t>
      </w:r>
    </w:p>
    <w:p>
      <w:pPr>
        <w:pStyle w:val="FirstParagraph"/>
      </w:pPr>
      <w:r>
        <w:t xml:space="preserve">A prime example of this transformation is the local automotive sector. Major manufacturers in Moscow have successfully localized the production of essential components previously sourced from Europe. Mechanical engineers collaborated closely with material scientists to develop high-strength alloys suitable for domestic use.</w:t>
      </w:r>
    </w:p>
    <w:p>
      <w:pPr>
        <w:pStyle w:val="BodyText"/>
      </w:pPr>
      <w:r>
        <w:t xml:space="preserve">This collaboration has resulted in a 40% increase in production efficiency over three years, demonstrating that mechanical engineering is no longer just about design and fabrication but about holistic ecosystem management. The case study highlights how proximity between industry and academia in Moscow facilitates rapid prototyping and implementation of solutions.</w:t>
      </w:r>
    </w:p>
    <w:bookmarkEnd w:id="29"/>
    <w:bookmarkStart w:id="30" w:name="future-outlook-recommendations"/>
    <w:p>
      <w:pPr>
        <w:pStyle w:val="Heading2"/>
      </w:pPr>
      <w:r>
        <w:t xml:space="preserve">6. Future Outlook &amp; Recommendations</w:t>
      </w:r>
    </w:p>
    <w:p>
      <w:pPr>
        <w:pStyle w:val="FirstParagraph"/>
      </w:pPr>
      <w:r>
        <w:t xml:space="preserve">The future of mechanical engineering in Russia Moscow looks promising but requires strategic focus:</w:t>
      </w:r>
    </w:p>
    <w:p>
      <w:pPr>
        <w:numPr>
          <w:ilvl w:val="0"/>
          <w:numId w:val="1003"/>
        </w:numPr>
        <w:pStyle w:val="Compact"/>
      </w:pPr>
      <w:r>
        <w:rPr>
          <w:bCs/>
          <w:b/>
        </w:rPr>
        <w:t xml:space="preserve">Digital Twin Implementation:</w:t>
      </w:r>
      <w:r>
        <w:t xml:space="preserve"> </w:t>
      </w:r>
      <w:r>
        <w:t xml:space="preserve">Full integration of digital twins for testing machinery before physical production to save costs.</w:t>
      </w:r>
    </w:p>
    <w:p>
      <w:pPr>
        <w:numPr>
          <w:ilvl w:val="0"/>
          <w:numId w:val="1003"/>
        </w:numPr>
        <w:pStyle w:val="Compact"/>
      </w:pPr>
      <w:r>
        <w:rPr>
          <w:bCs/>
          <w:b/>
        </w:rPr>
        <w:t xml:space="preserve">Eurasian Collaboration:</w:t>
      </w:r>
      <w:r>
        <w:t xml:space="preserve"> </w:t>
      </w:r>
      <w:r>
        <w:t xml:space="preserve">Strengthening ties with mechanical engineering firms in Central Asia and China to create a robust alternative supply chain network.</w:t>
      </w:r>
    </w:p>
    <w:p>
      <w:pPr>
        <w:numPr>
          <w:ilvl w:val="0"/>
          <w:numId w:val="1003"/>
        </w:numPr>
        <w:pStyle w:val="Compact"/>
      </w:pPr>
      <w:r>
        <w:rPr>
          <w:bCs/>
          <w:b/>
        </w:rPr>
        <w:t xml:space="preserve">Sustainable Engineering:</w:t>
      </w:r>
      <w:r>
        <w:t xml:space="preserve"> </w:t>
      </w:r>
      <w:r>
        <w:t xml:space="preserve">Integrating green energy principles into traditional mechanical systems, aligning with global environmental standards while maintaining economic growth.</w:t>
      </w:r>
    </w:p>
    <w:p>
      <w:pPr>
        <w:pStyle w:val="FirstParagraph"/>
      </w:pPr>
      <w:r>
        <w:t xml:space="preserve">We recommend that policymakers continue to subsidize R&amp;D in mechanical engineering and facilitate international academic exchanges with non-Western partners to keep the knowledge base current.</w:t>
      </w:r>
    </w:p>
    <w:bookmarkEnd w:id="30"/>
    <w:bookmarkStart w:id="31" w:name="conclusion"/>
    <w:p>
      <w:pPr>
        <w:pStyle w:val="Heading2"/>
      </w:pPr>
      <w:r>
        <w:t xml:space="preserve">7. Conclusion</w:t>
      </w:r>
    </w:p>
    <w:p>
      <w:pPr>
        <w:pStyle w:val="FirstParagraph"/>
      </w:pPr>
      <w:r>
        <w:t xml:space="preserve">This Poster Presentation academic document has illustrated that mechanical engineering in Russia Moscow is undergoing a profound transformation. Driven by necessity and fueled by a strong tradition of technical education, engineers in the capital are proving their resilience and adaptability. The focus on technological sovereignty, combined with the strategic adoption of Industry 4.0 technologies, positions Moscow as a vital player in the future global industrial landscape.</w:t>
      </w:r>
    </w:p>
    <w:p>
      <w:pPr>
        <w:pStyle w:val="BodyText"/>
      </w:pPr>
      <w:r>
        <w:t xml:space="preserve">The synergy between historical engineering prowess and modern digital innovation ensures that Russia Moscow remains a critical center for mechanical engineering excellence. By fostering an environment of self-reliance and continuous learning, the region is not only mitigating current risks but also laying the groundwork for sustainable long-term growth.</w:t>
      </w:r>
    </w:p>
    <w:bookmarkEnd w:id="31"/>
    <w:bookmarkStart w:id="32" w:name="references"/>
    <w:p>
      <w:pPr>
        <w:pStyle w:val="Heading2"/>
      </w:pPr>
      <w:r>
        <w:t xml:space="preserve">References</w:t>
      </w:r>
    </w:p>
    <w:p>
      <w:pPr>
        <w:numPr>
          <w:ilvl w:val="0"/>
          <w:numId w:val="1004"/>
        </w:numPr>
        <w:pStyle w:val="Compact"/>
      </w:pPr>
      <w:r>
        <w:t xml:space="preserve">Volkov, A., &amp; Petrov, I. (2023). *Technological Sovereignty in Russian Manufacturing*. Moscow Academic Press.</w:t>
      </w:r>
    </w:p>
    <w:p>
      <w:pPr>
        <w:numPr>
          <w:ilvl w:val="0"/>
          <w:numId w:val="1004"/>
        </w:numPr>
        <w:pStyle w:val="Compact"/>
      </w:pPr>
      <w:r>
        <w:t xml:space="preserve">Rostec Annual Report 2023. *Innovation and Production Metrics*.</w:t>
      </w:r>
    </w:p>
    <w:p>
      <w:pPr>
        <w:numPr>
          <w:ilvl w:val="0"/>
          <w:numId w:val="1004"/>
        </w:numPr>
        <w:pStyle w:val="Compact"/>
      </w:pPr>
      <w:r>
        <w:t xml:space="preserve">Bauman MSTU Journal of Mechanical Engineering, Vol 15, Issue 4. "Digitalization of Heavy Industry."</w:t>
      </w:r>
    </w:p>
    <w:bookmarkEnd w:id="32"/>
    <w:bookmarkStart w:id="33" w:name="contact-information"/>
    <w:p>
      <w:pPr>
        <w:pStyle w:val="Heading3"/>
      </w:pPr>
      <w:r>
        <w:t xml:space="preserve">Contact Information</w:t>
      </w:r>
    </w:p>
    <w:p>
      <w:pPr>
        <w:pStyle w:val="FirstParagraph"/>
      </w:pPr>
      <w:r>
        <w:rPr>
          <w:bCs/>
          <w:b/>
        </w:rPr>
        <w:t xml:space="preserve">Alexei Volkov, Ph.D.</w:t>
      </w:r>
      <w:r>
        <w:br/>
      </w:r>
      <w:r>
        <w:t xml:space="preserve">Department of Mechanical Engineering</w:t>
      </w:r>
      <w:r>
        <w:br/>
      </w:r>
      <w:r>
        <w:t xml:space="preserve">Moscow State Technical University</w:t>
      </w:r>
      <w:r>
        <w:br/>
      </w:r>
      <w:r>
        <w:t xml:space="preserve">Email: a.volkov@moscow-eng.ac.ru</w:t>
      </w:r>
      <w:r>
        <w:br/>
      </w:r>
      <w:r>
        <w:t xml:space="preserve">Phone: +7 495 123-4567</w:t>
      </w:r>
    </w:p>
    <w:bookmarkEnd w:id="33"/>
    <w:p>
      <w:pPr>
        <w:pStyle w:val="BodyText"/>
      </w:pPr>
      <w:r>
        <w:t xml:space="preserve">© 2023 International Symposium on Advanced Manufacturing. All Rights Reserved.</w:t>
      </w:r>
    </w:p>
    <w:p>
      <w:pPr>
        <w:pStyle w:val="BodyText"/>
      </w:pPr>
      <w:r>
        <w:rPr>
          <w:iCs/>
          <w:i/>
        </w:rPr>
        <w:t xml:space="preserve">This document is intended for academic and professional dissemination within the engineering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Engineering in the Russian Context</dc:title>
  <dc:creator/>
  <dc:language>en</dc:language>
  <cp:keywords/>
  <dcterms:created xsi:type="dcterms:W3CDTF">2026-07-29T03:03:37Z</dcterms:created>
  <dcterms:modified xsi:type="dcterms:W3CDTF">2026-07-29T03:03:37Z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