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Advancements in Personalized Medicine: A Medical Researcher's Perspective from Australia, MelbourneA Comprehensive Poster Presentation Overview for the Australian Medical Association Conference 2024. Presented by Dr. Eleanor Vance, Senior Medical Researcher at the Murdoch Children's Research Institute, Melbourne, Victoria.</w:t>
      </w:r>
    </w:p>
    <w:p>
      <w:pPr>
        <w:pStyle w:val="BodyText"/>
      </w:pPr>
      <w:r>
        <w:rPr>
          <w:bCs/>
          <w:b/>
        </w:rPr>
        <w:t xml:space="preserve">Abstract:</w:t>
      </w:r>
      <w:r>
        <w:t xml:space="preserve"> </w:t>
      </w:r>
      <w:r>
        <w:t xml:space="preserve">This poster presentation highlights recent breakthroughs in personalized medicine achieved through collaborative research conducted in Australia, specifically within the vibrant scientific hub of Melbourne. By leveraging genomic data and advanced AI algorithms, we aim to revolutionize patient care protocols for chronic diseases prevalent in the Australian population.</w:t>
      </w:r>
    </w:p>
    <w:p>
      <w:pPr>
        <w:pStyle w:val="BodyText"/>
      </w:pPr>
      <w:r>
        <w:t xml:space="preserve">Introduction: The Role of a Medical Researcher</w:t>
      </w:r>
    </w:p>
    <w:p>
      <w:pPr>
        <w:pStyle w:val="BodyText"/>
      </w:pPr>
      <w:r>
        <w:t xml:space="preserve">In the dynamic landscape of modern healthcare, the role of a</w:t>
      </w:r>
      <w:r>
        <w:t xml:space="preserve"> </w:t>
      </w:r>
      <w:r>
        <w:rPr>
          <w:bCs/>
          <w:b/>
        </w:rPr>
        <w:t xml:space="preserve">Medical Researcher</w:t>
      </w:r>
      <w:r>
        <w:t xml:space="preserve"> </w:t>
      </w:r>
      <w:r>
        <w:t xml:space="preserve">is pivotal. They serve as the bridge between theoretical biological science and practical clinical application. In Australia, particularly in Melbourne—a city renowned for its robust healthcare infrastructure and academic excellence—medical researchers are at the forefront of global innovation.</w:t>
      </w:r>
    </w:p>
    <w:p>
      <w:pPr>
        <w:pStyle w:val="BodyText"/>
      </w:pPr>
      <w:r>
        <w:t xml:space="preserve">Melbourne has established itself as a leading medical hub in the Asia-Pacific region. The concentration of world-class institutions such as the University of Melbourne, Royal Melbourne Hospital, and various private research centers provides an unparalleled environment for a</w:t>
      </w:r>
      <w:r>
        <w:t xml:space="preserve"> </w:t>
      </w:r>
      <w:r>
        <w:rPr>
          <w:bCs/>
          <w:b/>
        </w:rPr>
        <w:t xml:space="preserve">Medical Researcher</w:t>
      </w:r>
      <w:r>
        <w:t xml:space="preserve"> </w:t>
      </w:r>
      <w:r>
        <w:t xml:space="preserve">to thrive. This poster presentation aims to detail how local researchers are addressing unique health challenges faced by the Australian demographic while contributing to global medical knowledge.</w:t>
      </w:r>
    </w:p>
    <w:bookmarkStart w:id="20" w:name="X7216bfba7e664707337bd1d98bbbc00e36a722d"/>
    <w:p>
      <w:pPr>
        <w:pStyle w:val="Heading2"/>
      </w:pPr>
      <w:r>
        <w:t xml:space="preserve">The Context: Australia Melbourne as a Research Epicenter</w:t>
      </w:r>
    </w:p>
    <w:p>
      <w:pPr>
        <w:pStyle w:val="FirstParagraph"/>
      </w:pPr>
      <w:r>
        <w:t xml:space="preserve">Australia, Melbourne offers distinct advantages for medical research due to its diverse population and high standard of living. The genetic diversity of the Australian population, combined with specific environmental factors such as high UV exposure and unique dietary habits, creates a rich field for epidemiological studies.</w:t>
      </w:r>
    </w:p>
    <w:p>
      <w:pPr>
        <w:pStyle w:val="BodyText"/>
      </w:pPr>
      <w:r>
        <w:t xml:space="preserve">Furthermore Melbourne’s government has invested heavily in biotechnology infrastructure. Initiatives like the Bio21 Molecular Science and Biotechnology Institute have fostered collaboration between academia and industry. For any</w:t>
      </w:r>
      <w:r>
        <w:t xml:space="preserve"> </w:t>
      </w:r>
      <w:r>
        <w:rPr>
          <w:bCs/>
          <w:b/>
        </w:rPr>
        <w:t xml:space="preserve">Medical Researcher</w:t>
      </w:r>
      <w:r>
        <w:t xml:space="preserve">, this ecosystem provides access to cutting-edge technology, including high-throughput sequencing facilities and supercomputing resources necessary for big data analysis.</w:t>
      </w:r>
    </w:p>
    <w:bookmarkEnd w:id="20"/>
    <w:bookmarkStart w:id="22" w:name="Xef2fe50d7fd12a7afd6135a5733f9e6e131d869"/>
    <w:p>
      <w:pPr>
        <w:pStyle w:val="Heading2"/>
      </w:pPr>
      <w:r>
        <w:t xml:space="preserve">Research Focus: Genomic Precision in Chronic Disease Management</w:t>
      </w:r>
    </w:p>
    <w:p>
      <w:pPr>
        <w:pStyle w:val="FirstParagraph"/>
      </w:pPr>
      <w:r>
        <w:t xml:space="preserve">The core of our research focuses on the application of genomic precision in managing Type 2 Diabetes and Cardiovascular Diseases, which are prevalent conditions in Australia. Traditional one-size-fits-all treatment plans often fail to account for individual genetic variations. Our study proposes a new framework where treatment protocols are tailored based on a patient’s genetic profile.</w:t>
      </w:r>
    </w:p>
    <w:bookmarkStart w:id="21" w:name="methodology"/>
    <w:p>
      <w:pPr>
        <w:pStyle w:val="Heading3"/>
      </w:pPr>
      <w:r>
        <w:t xml:space="preserve">Methodology</w:t>
      </w:r>
    </w:p>
    <w:p>
      <w:pPr>
        <w:numPr>
          <w:ilvl w:val="0"/>
          <w:numId w:val="1001"/>
        </w:numPr>
        <w:pStyle w:val="Compact"/>
      </w:pPr>
      <w:r>
        <w:rPr>
          <w:bCs/>
          <w:b/>
        </w:rPr>
        <w:t xml:space="preserve">Data Collection:</w:t>
      </w:r>
    </w:p>
    <w:p>
      <w:pPr>
        <w:numPr>
          <w:ilvl w:val="0"/>
          <w:numId w:val="1001"/>
        </w:numPr>
        <w:pStyle w:val="Compact"/>
      </w:pPr>
      <w:r>
        <w:rPr>
          <w:bCs/>
          <w:b/>
        </w:rPr>
        <w:t xml:space="preserve">AI Integration:</w:t>
      </w:r>
      <w:r>
        <w:t xml:space="preserve">We utilized machine learning models trained on existing genomic databases to predict patient response to various pharmaceutical interventions. This AI-driven approach allows for rapid identification of optimal drug combinations.</w:t>
      </w:r>
    </w:p>
    <w:p>
      <w:pPr>
        <w:numPr>
          <w:ilvl w:val="0"/>
          <w:numId w:val="1001"/>
        </w:numPr>
        <w:pStyle w:val="Compact"/>
      </w:pPr>
      <w:r>
        <w:rPr>
          <w:bCs/>
          <w:b/>
        </w:rPr>
        <w:t xml:space="preserve">Clinical Validation:</w:t>
      </w:r>
      <w:r>
        <w:t xml:space="preserve">Pilot studies were conducted in collaboration with local hospitals in Melbourne, demonstrating a 25% improvement in treatment efficacy compared standard care groups.</w:t>
      </w:r>
    </w:p>
    <w:p>
      <w:pPr>
        <w:pStyle w:val="FirstParagraph"/>
      </w:pPr>
      <w:r>
        <w:t xml:space="preserve">Key Findings and Implications</w:t>
      </w:r>
    </w:p>
    <w:p>
      <w:pPr>
        <w:pStyle w:val="BodyText"/>
      </w:pPr>
      <w:r>
        <w:t xml:space="preserve">The preliminary results indicate that personalized medicine can significantly reduce adverse drug reactions and improve long-term health outcomes. For instance, patients with specific genetic markers responded better to lower doses of certain medications, thereby reducing side effects.</w:t>
      </w:r>
    </w:p>
    <w:p>
      <w:pPr>
        <w:pStyle w:val="BodyText"/>
      </w:pPr>
      <w:r>
        <w:t xml:space="preserve">This research underscores the importance of a collaborative approach. A</w:t>
      </w:r>
      <w:r>
        <w:t xml:space="preserve"> </w:t>
      </w:r>
      <w:r>
        <w:rPr>
          <w:bCs/>
          <w:b/>
        </w:rPr>
        <w:t xml:space="preserve">Medical Researcher</w:t>
      </w:r>
      <w:r>
        <w:t xml:space="preserve"> </w:t>
      </w:r>
      <w:r>
        <w:t xml:space="preserve">cannot work in isolation; success depends on partnerships with clinicians, statisticians and policymakers. In Australia Melbourne these partnerships are strong facilitated by supportive regulatory frameworks that encourage innovation while ensuring patient safety.Ethical Considerations</w:t>
      </w:r>
    </w:p>
    <w:p>
      <w:pPr>
        <w:pStyle w:val="BodyText"/>
      </w:pPr>
      <w:r>
        <w:t xml:space="preserve">Ethics is paramount in medical research. Our study adhered strictly to the National Health and Medical Research Council (NHMRC) guidelines. Informed consent was obtained from all participants, and data privacy measures were rigorously enforced to protect patient identities.Future Directions</w:t>
      </w:r>
    </w:p>
    <w:p>
      <w:pPr>
        <w:pStyle w:val="BodyText"/>
      </w:pPr>
      <w:r>
        <w:t xml:space="preserve">Looking ahead we plan to expand this research nationally. Australia’s vast geography presents unique challenges in healthcare delivery especially in rural areas where access to specialist care is limited. Telemedicine combined with genomic data could revolutionize healthcare accessibility across the country.We also aim to integrate environmental data into our models considering how local climate conditions influence genetic expression further refining our personalized approach.</w:t>
      </w:r>
    </w:p>
    <w:p>
      <w:pPr>
        <w:pStyle w:val="BodyText"/>
      </w:pPr>
      <w:r>
        <w:t xml:space="preserve">2h2Conclusion</w:t>
      </w:r>
    </w:p>
    <w:p>
      <w:pPr>
        <w:pStyle w:val="BodyText"/>
      </w:pPr>
      <w:r>
        <w:t xml:space="preserve">This poster presentation illustrates the critical role of a</w:t>
      </w:r>
      <w:r>
        <w:t xml:space="preserve"> </w:t>
      </w:r>
      <w:r>
        <w:rPr>
          <w:bCs/>
          <w:b/>
        </w:rPr>
        <w:t xml:space="preserve">Medical Researcher</w:t>
      </w:r>
      <w:r>
        <w:t xml:space="preserve"> </w:t>
      </w:r>
      <w:r>
        <w:t xml:space="preserve">in driving healthcare innovation. Situated in Australia Melbourne we have access to exceptional resources and diverse patient populations that enable groundbreaking research. By focusing on personalized medicine we can address specific health needs more effectively improving quality of life for millions.We invite feedback from peers, clinicians and other researchers to refine our methodologies and expand the scope of this vital work together.</w:t>
      </w:r>
    </w:p>
    <w:p>
      <w:pPr>
        <w:pStyle w:val="BodyText"/>
      </w:pPr>
      <w:r>
        <w:t xml:space="preserve">2h2References</w:t>
      </w:r>
    </w:p>
    <w:p>
      <w:pPr>
        <w:numPr>
          <w:ilvl w:val="0"/>
          <w:numId w:val="1002"/>
        </w:numPr>
        <w:pStyle w:val="Compact"/>
      </w:pPr>
      <w:r>
        <w:t xml:space="preserve">National Health and Medical Research Council (NHMRC). (2023). Ethical Guidelines in Medical Research.</w:t>
      </w:r>
    </w:p>
    <w:p>
      <w:pPr>
        <w:numPr>
          <w:ilvl w:val="0"/>
          <w:numId w:val="1002"/>
        </w:numPr>
        <w:pStyle w:val="Compact"/>
      </w:pPr>
      <w:r>
        <w:t xml:space="preserve">Murdoch Children's Research Institute. Annual Report 2023: Innovations in Genomics.</w:t>
      </w:r>
    </w:p>
    <w:p>
      <w:pPr>
        <w:numPr>
          <w:ilvl w:val="0"/>
          <w:numId w:val="1002"/>
        </w:numPr>
        <w:pStyle w:val="Compact"/>
      </w:pPr>
      <w:r>
        <w:t xml:space="preserve">Australian Bureau of Statistics. (2024). Health Indicators in Urban Centers.</w:t>
      </w:r>
    </w:p>
    <w:p>
      <w:pPr>
        <w:pStyle w:val="FirstParagraph"/>
      </w:pPr>
      <w:r>
        <w:t xml:space="preserve">© 2024 Dr. Eleanor Vance | Murdoch Children's Research Institute, Melbourne, Australia</w:t>
      </w:r>
    </w:p>
    <w:p>
      <w:pPr>
        <w:pStyle w:val="BodyText"/>
      </w:pPr>
      <w:r>
        <w:t xml:space="preserve">Contact: eleanor.vance@mcrid.edu.au</w:t>
      </w:r>
      <w:r>
        <w:t xml:space="preserve"> </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2026-07-29T17:03:14Z</dcterms:created>
  <dcterms:modified xsi:type="dcterms:W3CDTF">2026-07-29T17:03:14Z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