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Global</w:t>
      </w:r>
      <w:r>
        <w:t xml:space="preserve"> </w:t>
      </w:r>
      <w:r>
        <w:t xml:space="preserve">Health</w:t>
      </w:r>
      <w:r>
        <w:t xml:space="preserve"> </w:t>
      </w:r>
      <w:r>
        <w:t xml:space="preserve">Standards</w:t>
      </w:r>
      <w:r>
        <w:t xml:space="preserve"> </w:t>
      </w:r>
      <w:r>
        <w:t xml:space="preserve">in</w:t>
      </w:r>
      <w:r>
        <w:t xml:space="preserve"> </w:t>
      </w:r>
      <w:r>
        <w:t xml:space="preserve">Germany</w:t>
      </w:r>
      <w:r>
        <w:t xml:space="preserve"> </w:t>
      </w:r>
      <w:r>
        <w:t xml:space="preserve">Berlin</w:t>
      </w:r>
    </w:p>
    <w:bookmarkStart w:id="27" w:name="X03be5474c5d42e0565b71a3d6c17d9310d653f5"/>
    <w:p>
      <w:pPr>
        <w:pStyle w:val="Heading1"/>
      </w:pPr>
      <w:r>
        <w:t xml:space="preserve">Bridging Borders in Biomedical Innovation:The Role of the Modern Medical Researcher in Berlin's Healthcare Ecosystem</w:t>
      </w:r>
    </w:p>
    <w:p>
      <w:pPr>
        <w:pStyle w:val="FirstParagraph"/>
      </w:pPr>
      <w:r>
        <w:br/>
      </w:r>
    </w:p>
    <w:p>
      <w:pPr>
        <w:pStyle w:val="BodyText"/>
      </w:pPr>
      <w:r>
        <w:rPr>
          <w:bCs/>
          <w:b/>
        </w:rPr>
        <w:t xml:space="preserve">A Comprehensive Academic Poster Presentation Document</w:t>
      </w:r>
    </w:p>
    <w:p>
      <w:pPr>
        <w:pStyle w:val="BodyText"/>
      </w:pPr>
      <w:r>
        <w:br/>
      </w:r>
    </w:p>
    <w:p>
      <w:pPr>
        <w:pStyle w:val="BodyText"/>
      </w:pPr>
      <w:r>
        <w:t xml:space="preserve">Presented for the International Symposium on Translational Medicine &amp; Public Health Policy</w:t>
      </w:r>
      <w:r>
        <w:br/>
      </w:r>
      <w:r>
        <w:t xml:space="preserve">Location: Charité – Universitätsmedizin Berlin, Germany</w:t>
      </w:r>
      <w:r>
        <w:br/>
      </w:r>
      <w:r>
        <w:t xml:space="preserve">Date: October 2024</w:t>
      </w:r>
    </w:p>
    <w:p>
      <w:pPr>
        <w:pStyle w:val="BodyText"/>
      </w:pPr>
      <w:r>
        <w:br/>
      </w:r>
    </w:p>
    <w:bookmarkStart w:id="20" w:name="abstract"/>
    <w:p>
      <w:pPr>
        <w:pStyle w:val="Heading3"/>
      </w:pPr>
      <w:r>
        <w:t xml:space="preserve">Abstract</w:t>
      </w:r>
    </w:p>
    <w:p>
      <w:pPr>
        <w:pStyle w:val="FirstParagraph"/>
      </w:pPr>
      <w:r>
        <w:t xml:space="preserve">The landscape of modern medical science is undergoing a profound transformation. At the heart of this evolution stands the</w:t>
      </w:r>
      <w:r>
        <w:t xml:space="preserve"> </w:t>
      </w:r>
      <w:r>
        <w:rPr>
          <w:bCs/>
          <w:b/>
        </w:rPr>
        <w:t xml:space="preserve">Medical Researcher</w:t>
      </w:r>
      <w:r>
        <w:t xml:space="preserve">, an architect of new knowledge, clinical protocols, and therapeutic breakthroughs. This presentation examines the multifaceted role of the</w:t>
      </w:r>
      <w:r>
        <w:t xml:space="preserve"> </w:t>
      </w:r>
      <w:r>
        <w:rPr>
          <w:bCs/>
          <w:b/>
        </w:rPr>
        <w:t xml:space="preserve">Medical Researcher</w:t>
      </w:r>
      <w:r>
        <w:t xml:space="preserve">, specifically within the context of Berlin, a city that has emerged as a pivotal hub for biomedical innovation in Europe. By analyzing recent initiatives at institutions such as Charité – Universitätsmedizin Berlin and various biotech startups in Mitte and Adlershof, we highlight how local research efforts contribute to global health standards. The</w:t>
      </w:r>
      <w:r>
        <w:t xml:space="preserve"> </w:t>
      </w:r>
      <w:r>
        <w:rPr>
          <w:bCs/>
          <w:b/>
        </w:rPr>
        <w:t xml:space="preserve">Poster Presentation</w:t>
      </w:r>
      <w:r>
        <w:t xml:space="preserve"> </w:t>
      </w:r>
      <w:r>
        <w:t xml:space="preserve">outlines current challenges, collaborative frameworks involving the German healthcare system, and future directions for translational medicine.</w:t>
      </w:r>
    </w:p>
    <w:bookmarkEnd w:id="20"/>
    <w:p>
      <w:pPr>
        <w:pStyle w:val="BodyText"/>
      </w:pPr>
      <w:r>
        <w:br/>
      </w:r>
    </w:p>
    <w:bookmarkStart w:id="21" w:name="X8766eb04c5696c772109b4535efc4113359ccac"/>
    <w:p>
      <w:pPr>
        <w:pStyle w:val="Heading3"/>
      </w:pPr>
      <w:r>
        <w:t xml:space="preserve">The Evolving Identity of the Medical Researcher</w:t>
      </w:r>
    </w:p>
    <w:p>
      <w:pPr>
        <w:pStyle w:val="FirstParagraph"/>
      </w:pPr>
      <w:r>
        <w:t xml:space="preserve">In contemporary academia and clinical practice, the definition of a</w:t>
      </w:r>
      <w:r>
        <w:t xml:space="preserve"> </w:t>
      </w:r>
      <w:r>
        <w:rPr>
          <w:bCs/>
          <w:b/>
        </w:rPr>
        <w:t xml:space="preserve">Medical Researcher</w:t>
      </w:r>
    </w:p>
    <w:bookmarkEnd w:id="21"/>
    <w:p>
      <w:pPr>
        <w:pStyle w:val="BodyText"/>
      </w:pPr>
      <w:r>
        <w:br/>
      </w:r>
    </w:p>
    <w:bookmarkStart w:id="22" w:name="X30f166ce94c1a282567d8b878678ac1b9d72548"/>
    <w:p>
      <w:pPr>
        <w:pStyle w:val="Heading3"/>
      </w:pPr>
      <w:r>
        <w:t xml:space="preserve">Berlin as an Innovation Hub for Medical Science</w:t>
      </w:r>
    </w:p>
    <w:p>
      <w:pPr>
        <w:pStyle w:val="FirstParagraph"/>
      </w:pPr>
      <w:r>
        <w:t xml:space="preserve">To understand the impact of medical science in Europe, one must examine</w:t>
      </w:r>
      <w:r>
        <w:t xml:space="preserve"> </w:t>
      </w:r>
      <w:r>
        <w:rPr>
          <w:bCs/>
          <w:b/>
        </w:rPr>
        <w:t xml:space="preserve">Germany Berlin</w:t>
      </w:r>
      <w:r>
        <w:t xml:space="preserve">. Berlin has rapidly transformed from a historical capital into a vibrant ecosystem for life sciences. Key factors driving this change include:</w:t>
      </w:r>
    </w:p>
    <w:p>
      <w:pPr>
        <w:pStyle w:val="BodyText"/>
      </w:pPr>
      <w:r>
        <w:br/>
      </w:r>
    </w:p>
    <w:p>
      <w:pPr>
        <w:numPr>
          <w:ilvl w:val="0"/>
          <w:numId w:val="1001"/>
        </w:numPr>
        <w:pStyle w:val="Compact"/>
      </w:pPr>
      <w:r>
        <w:t xml:space="preserve">The presence of world-class institutions like Charité, which is often ranked among the top medical universities in Europe.</w:t>
      </w:r>
    </w:p>
    <w:p>
      <w:pPr>
        <w:numPr>
          <w:ilvl w:val="0"/>
          <w:numId w:val="1001"/>
        </w:numPr>
        <w:pStyle w:val="Compact"/>
      </w:pPr>
      <w:r>
        <w:t xml:space="preserve">Government incentives promoting biotechnology startups and public-private partnerships.</w:t>
      </w:r>
    </w:p>
    <w:p>
      <w:pPr>
        <w:pStyle w:val="FirstParagraph"/>
      </w:pPr>
      <w:r>
        <w:br/>
      </w:r>
    </w:p>
    <w:bookmarkEnd w:id="22"/>
    <w:bookmarkStart w:id="23" w:name="X1304745f934e444933f44cfd7ca4c6d4318797a"/>
    <w:p>
      <w:pPr>
        <w:pStyle w:val="Heading3"/>
      </w:pPr>
      <w:r>
        <w:t xml:space="preserve">Translational Medicine and Clinical Implementation</w:t>
      </w:r>
    </w:p>
    <w:p>
      <w:pPr>
        <w:pStyle w:val="FirstParagraph"/>
      </w:pPr>
      <w:r>
        <w:br/>
      </w:r>
    </w:p>
    <w:p>
      <w:pPr>
        <w:pStyle w:val="BodyText"/>
      </w:pPr>
      <w:r>
        <w:t xml:space="preserve">A primary challenge facing today's</w:t>
      </w:r>
      <w:r>
        <w:t xml:space="preserve"> </w:t>
      </w:r>
      <w:r>
        <w:rPr>
          <w:bCs/>
          <w:b/>
        </w:rPr>
        <w:t xml:space="preserve">Medical Researcher</w:t>
      </w:r>
    </w:p>
    <w:bookmarkEnd w:id="23"/>
    <w:p>
      <w:pPr>
        <w:pStyle w:val="BodyText"/>
      </w:pPr>
      <w:r>
        <w:br/>
      </w:r>
    </w:p>
    <w:bookmarkStart w:id="24" w:name="X5187b73101a547dda2a570bd8b99ddf24e0dcbb"/>
    <w:p>
      <w:pPr>
        <w:pStyle w:val="Heading3"/>
      </w:pPr>
      <w:r>
        <w:t xml:space="preserve">Ethical Considerations in a Global Context</w:t>
      </w:r>
    </w:p>
    <w:p>
      <w:pPr>
        <w:pStyle w:val="FirstParagraph"/>
      </w:pPr>
      <w:r>
        <w:br/>
      </w:r>
    </w:p>
    <w:p>
      <w:pPr>
        <w:pStyle w:val="BodyText"/>
      </w:pPr>
      <w:r>
        <w:t xml:space="preserve">The work of any</w:t>
      </w:r>
      <w:r>
        <w:t xml:space="preserve"> </w:t>
      </w:r>
      <w:r>
        <w:rPr>
          <w:bCs/>
          <w:b/>
        </w:rPr>
        <w:t xml:space="preserve">Medical Researcher</w:t>
      </w:r>
      <w:r>
        <w:t xml:space="preserve"> </w:t>
      </w:r>
      <w:r>
        <w:t xml:space="preserve">must be grounded in robust ethical frameworks. In</w:t>
      </w:r>
      <w:r>
        <w:t xml:space="preserve"> </w:t>
      </w:r>
      <w:r>
        <w:rPr>
          <w:bCs/>
          <w:b/>
        </w:rPr>
        <w:t xml:space="preserve">Germany Berlin</w:t>
      </w:r>
      <w:r>
        <w:t xml:space="preserve">, strict adherence to the Declaration of Helsinki and national bioethics laws ensures that patient rights are prioritized. Issues such as data privacy under GDPR, informed consent in genetic testing, and equitable access to experimental therapies are central topics of discussion for researchers operating here.</w:t>
      </w:r>
    </w:p>
    <w:p>
      <w:pPr>
        <w:pStyle w:val="BodyText"/>
      </w:pPr>
      <w:r>
        <w:br/>
      </w:r>
    </w:p>
    <w:bookmarkEnd w:id="24"/>
    <w:bookmarkStart w:id="25" w:name="X6745c3ef471e912e3c71e5c6883232fc3e75046"/>
    <w:p>
      <w:pPr>
        <w:pStyle w:val="Heading3"/>
      </w:pPr>
      <w:r>
        <w:t xml:space="preserve">Case Study: The Berlin Model of Collaborative Research</w:t>
      </w:r>
    </w:p>
    <w:p>
      <w:pPr>
        <w:pStyle w:val="FirstParagraph"/>
      </w:pPr>
      <w:r>
        <w:br/>
      </w:r>
    </w:p>
    <w:p>
      <w:pPr>
        <w:pStyle w:val="BodyText"/>
      </w:pPr>
      <w:r>
        <w:t xml:space="preserve">An exemplary model emerging from</w:t>
      </w:r>
      <w:r>
        <w:t xml:space="preserve"> </w:t>
      </w:r>
      <w:r>
        <w:rPr>
          <w:bCs/>
          <w:b/>
        </w:rPr>
        <w:t xml:space="preserve">Germany Berlin</w:t>
      </w:r>
    </w:p>
    <w:bookmarkEnd w:id="25"/>
    <w:p>
      <w:pPr>
        <w:pStyle w:val="BodyText"/>
      </w:pPr>
      <w:r>
        <w:br/>
      </w:r>
    </w:p>
    <w:bookmarkStart w:id="26" w:name="X5116751d7cf362e8956dea78e11baddb860fbe6"/>
    <w:p>
      <w:pPr>
        <w:pStyle w:val="Heading3"/>
      </w:pPr>
      <w:r>
        <w:t xml:space="preserve">Educational Outreach and Interdisciplinary Collaboration</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Global Health Standards in Germany Berlin</dc:title>
  <dc:creator/>
  <dc:language>en</dc:language>
  <cp:keywords/>
  <dcterms:created xsi:type="dcterms:W3CDTF">2026-07-29T02:05:55Z</dcterms:created>
  <dcterms:modified xsi:type="dcterms:W3CDTF">2026-07-29T02:05:55Z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