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Germany</w:t>
      </w:r>
      <w:r>
        <w:t xml:space="preserve"> </w:t>
      </w:r>
      <w:r>
        <w:t xml:space="preserve">Frankfurt</w:t>
      </w:r>
    </w:p>
    <w:bookmarkStart w:id="26" w:name="Xe3e35156b1ce9d9e5d52e96ef779b86b8c8755d"/>
    <w:p>
      <w:pPr>
        <w:pStyle w:val="Heading1"/>
      </w:pPr>
      <w:r>
        <w:t xml:space="preserve">Bridging Borders in Biomedicine: A Comprehensive Poster Presentation by a Medical Researcher in Germany Frankfurt</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Goethe University Hospital, Frankfurt am Main, Germany</w:t>
      </w:r>
      <w:r>
        <w:br/>
      </w:r>
      <w:r>
        <w:rPr>
          <w:bCs/>
          <w:b/>
        </w:rPr>
        <w:t xml:space="preserve">Presentation Type:</w:t>
      </w:r>
      <w:r>
        <w:t xml:space="preserve"> </w:t>
      </w:r>
      <w:r>
        <w:t xml:space="preserve">Scientific Poster Session at the International Conference on Translational Medicine</w:t>
      </w:r>
    </w:p>
    <w:bookmarkStart w:id="20" w:name="abstract"/>
    <w:p>
      <w:pPr>
        <w:pStyle w:val="Heading2"/>
      </w:pPr>
      <w:r>
        <w:t xml:space="preserve">Abstract</w:t>
      </w:r>
    </w:p>
    <w:p>
      <w:pPr>
        <w:pStyle w:val="FirstParagraph"/>
      </w:pPr>
      <w:r>
        <w:t xml:space="preserve">The landscape of modern medical research is increasingly defined by interdisciplinary collaboration and cross-border exchange. This poster presentation outlines a critical study conducted by a dedicated Medical Researcher based in the vibrant scientific hub of Germany Frankfurt. As one of Europe’s leading centers for finance, culture, and notably, biomedical innovation, Frankfurt provides an unparalleled environment for high-impact clinical trials and fundamental biological research. This document serves as both the textual foundation for the visual poster presentation and a comprehensive overview of the study's methodology, findings, implications for local healthcare systems in Germany Frankfurt, and future directions.</w:t>
      </w:r>
    </w:p>
    <w:p>
      <w:pPr>
        <w:pStyle w:val="BodyText"/>
      </w:pPr>
      <w:r>
        <w:t xml:space="preserve">The primary objective of this research is to evaluate the efficacy of novel immunotherapeutic interventions in early-stage non-small cell lung cancer (NSCLC). The study leverages the advanced diagnostic infrastructure available in Germany Frankfurt to recruit a diverse cohort of patients, ensuring that results are applicable across various demographic groups prevalent in Central Europe. By integrating big data analytics with traditional clinical observation, this Medical Researcher aims to establish a new standard for personalized medicine within the German healthcare framework.</w:t>
      </w:r>
    </w:p>
    <w:bookmarkEnd w:id="20"/>
    <w:bookmarkStart w:id="21" w:name="introduction-and-contextual-background"/>
    <w:p>
      <w:pPr>
        <w:pStyle w:val="Heading2"/>
      </w:pPr>
      <w:r>
        <w:t xml:space="preserve">Introduction and Contextual Background</w:t>
      </w:r>
    </w:p>
    <w:p>
      <w:pPr>
        <w:pStyle w:val="FirstParagraph"/>
      </w:pPr>
      <w:r>
        <w:t xml:space="preserve">Lung cancer remains one of the leading causes of cancer-related mortality worldwide. While significant strides have been made in treatment protocols, resistance to conventional therapies continues to plague clinical outcomes. In this context, the role of a Medical Researcher extends beyond the laboratory; it requires active engagement with clinical stakeholders and policy makers. Germany Frankfurt serves as an ideal nexus for such efforts due to its dense network of specialized clinics, including the University Hospital Frankfurt (Universitätsklinikum Frankfurt), which is renowned for its oncology department.</w:t>
      </w:r>
    </w:p>
    <w:p>
      <w:pPr>
        <w:pStyle w:val="BodyText"/>
      </w:pPr>
      <w:r>
        <w:t xml:space="preserve">The poster presentation highlights the unique advantages of conducting this research in Germany Frankfurt. The city’s robust public health infrastructure facilitates rapid patient recruitment and data collection. Furthermore, the presence of major pharmaceutical headquarters and biotech startups in the Rhine-Main area fosters a dynamic ecosystem where academic research can quickly translate into clinical application. This synergy is central to the hypothesis that localized, community-integrated research models yield more sustainable healthcare improvements than isolated academic pursuits.</w:t>
      </w:r>
    </w:p>
    <w:bookmarkEnd w:id="21"/>
    <w:bookmarkStart w:id="24" w:name="methodology"/>
    <w:p>
      <w:pPr>
        <w:pStyle w:val="Heading2"/>
      </w:pPr>
      <w:r>
        <w:t xml:space="preserve">Methodology</w:t>
      </w:r>
    </w:p>
    <w:p>
      <w:pPr>
        <w:pStyle w:val="FirstParagraph"/>
      </w:pPr>
      <w:r>
        <w:t xml:space="preserve">The study employs a mixed-methods approach, combining quantitative clinical trial data with qualitative patient-reported outcome measures (PROMs). The methodology is designed to be replicable and robust, adhering strictly to Good Clinical Practice (GCP) guidelines mandated by European and German regulatory bodies.</w:t>
      </w:r>
    </w:p>
    <w:bookmarkStart w:id="22" w:name="study-design"/>
    <w:p>
      <w:pPr>
        <w:pStyle w:val="Heading3"/>
      </w:pPr>
      <w:r>
        <w:t xml:space="preserve">Study Design</w:t>
      </w:r>
    </w:p>
    <w:p>
      <w:pPr>
        <w:numPr>
          <w:ilvl w:val="0"/>
          <w:numId w:val="1001"/>
        </w:numPr>
        <w:pStyle w:val="Compact"/>
      </w:pPr>
      <w:r>
        <w:rPr>
          <w:bCs/>
          <w:b/>
        </w:rPr>
        <w:t xml:space="preserve">Cohort Selection:</w:t>
      </w:r>
      <w:r>
        <w:t xml:space="preserve"> </w:t>
      </w:r>
      <w:r>
        <w:t xml:space="preserve">A total of 500 patients were recruited from three major centers in Germany Frankfurt. Inclusion criteria focused on stage IIA-IIIB NSCLC patients who had not previously received systemic therapy.</w:t>
      </w:r>
    </w:p>
    <w:p>
      <w:pPr>
        <w:numPr>
          <w:ilvl w:val="0"/>
          <w:numId w:val="1001"/>
        </w:numPr>
        <w:pStyle w:val="Compact"/>
      </w:pPr>
      <w:r>
        <w:rPr>
          <w:bCs/>
          <w:b/>
        </w:rPr>
        <w:t xml:space="preserve">Intervention Protocol:</w:t>
      </w:r>
      <w:r>
        <w:t xml:space="preserve"> </w:t>
      </w:r>
      <w:r>
        <w:t xml:space="preserve">Participants were randomized into two groups: the control group receiving standard chemotherapy and the experimental group receiving a combination of chemotherapy and a novel PD-1 inhibitor.</w:t>
      </w:r>
    </w:p>
    <w:p>
      <w:pPr>
        <w:numPr>
          <w:ilvl w:val="0"/>
          <w:numId w:val="1001"/>
        </w:numPr>
        <w:pStyle w:val="Compact"/>
      </w:pPr>
      <w:r>
        <w:rPr>
          <w:bCs/>
          <w:b/>
        </w:rPr>
        <w:t xml:space="preserve">Data Collection Points:</w:t>
      </w:r>
      <w:r>
        <w:t xml:space="preserve"> </w:t>
      </w:r>
      <w:r>
        <w:t xml:space="preserve">Assessments were conducted at baseline, week 6, week 12, and every three months thereafter for two years. Key metrics included overall survival (OS), progression-free survival (PFS), and adverse event profiles.</w:t>
      </w:r>
    </w:p>
    <w:bookmarkEnd w:id="22"/>
    <w:bookmarkStart w:id="23" w:name="ethical-considerations"/>
    <w:p>
      <w:pPr>
        <w:pStyle w:val="Heading3"/>
      </w:pPr>
      <w:r>
        <w:t xml:space="preserve">Ethical Considerations</w:t>
      </w:r>
    </w:p>
    <w:p>
      <w:pPr>
        <w:pStyle w:val="FirstParagraph"/>
      </w:pPr>
      <w:r>
        <w:t xml:space="preserve">All procedures were reviewed and approved by the Ethics Committee of the Medical Faculty at Goethe University in Germany Frankfurt. Informed consent was obtained from all participants, with particular attention paid to data privacy regulations under the General Data Protection Regulation (GDPR), which is strictly enforced within Germany.</w:t>
      </w:r>
    </w:p>
    <w:bookmarkEnd w:id="23"/>
    <w:bookmarkEnd w:id="24"/>
    <w:bookmarkStart w:id="25" w:name="results"/>
    <w:p>
      <w:pPr>
        <w:pStyle w:val="Heading2"/>
      </w:pPr>
      <w:r>
        <w:t xml:space="preserve">Results</w:t>
      </w:r>
    </w:p>
    <w:p>
      <w:pPr>
        <w:pStyle w:val="FirstParagraph"/>
      </w:pPr>
      <w:r>
        <w:t xml:space="preserve">Preliminary analysis of the first 300 participants reveals statistically significant improvements in the experimental group. The poster presentation features several key visualizations, including Kaplan-Meier survival curves and heat maps of adverse event frequencies.</w:t>
      </w:r>
    </w:p>
    <w:p>
      <w:pPr>
        <w:pStyle w:val="BodyText"/>
      </w:pPr>
      <w:r>
        <w:t xml:space="preserve">Metric</w:t>
      </w:r>
    </w:p>
    <w:p>
      <w:pPr>
        <w:pStyle w:val="BodyText"/>
      </w:pPr>
      <w:r>
        <w:t xml:space="preserve">Control Group (N=150)</w:t>
      </w:r>
    </w:p>
    <w:p>
      <w:pPr>
        <w:pStyle w:val="BodyText"/>
      </w:pPr>
      <w:r>
        <w:t xml:space="preserve">Treatment Group (N=150)</w:t>
      </w:r>
    </w:p>
    <w:p>
      <w:pPr>
        <w:pStyle w:val="BodyText"/>
      </w:pPr>
      <w:r>
        <w:t xml:space="preserve">P-Value</w:t>
      </w:r>
    </w:p>
    <w:p>
      <w:pPr>
        <w:pStyle w:val="BodyText"/>
      </w:pPr>
      <w:r>
        <w:t xml:space="preserve">&gt;</w:t>
      </w:r>
    </w:p>
    <w:p>
      <w:pPr>
        <w:pStyle w:val="BodyText"/>
      </w:pPr>
      <w:r>
        <w:t xml:space="preserve">Average Progression-Free Survival (months)</w:t>
      </w:r>
    </w:p>
    <w:p>
      <w:pPr>
        <w:pStyle w:val="BodyText"/>
      </w:pPr>
      <w:r>
        <w:t xml:space="preserve">9.2</w:t>
      </w:r>
    </w:p>
    <w:p>
      <w:pPr>
        <w:pStyle w:val="BodyText"/>
      </w:pPr>
      <w:r>
        <w:t xml:space="preserve">14.5</w:t>
      </w:r>
    </w:p>
    <w:p>
      <w:pPr>
        <w:pStyle w:val="BodyText"/>
      </w:pPr>
      <w:r>
        <w:rPr>
          <w:bCs/>
          <w:b/>
        </w:rPr>
        <w:t xml:space="preserve">p &lt; 0.01</w:t>
      </w:r>
    </w:p>
    <w:p>
      <w:pPr>
        <w:pStyle w:val="BodyText"/>
      </w:pPr>
      <w:r>
        <w:t xml:space="preserve">&gt;</w:t>
      </w:r>
    </w:p>
    <w:p>
      <w:pPr>
        <w:pStyle w:val="BodyText"/>
      </w:pPr>
      <w:r>
        <w:t xml:space="preserve">Treatment-Related Adverse Events (Grade 3+)</w:t>
      </w:r>
    </w:p>
    <w:p>
      <w:pPr>
        <w:pStyle w:val="BodyText"/>
      </w:pPr>
      <w:r>
        <w:t xml:space="preserve">45%</w:t>
      </w:r>
    </w:p>
    <w:p>
      <w:pPr>
        <w:pStyle w:val="BodyText"/>
      </w:pPr>
      <w:r>
        <w:t xml:space="preserve">38%</w:t>
      </w:r>
    </w:p>
    <w:p>
      <w:pPr>
        <w:pStyle w:val="BodyText"/>
      </w:pPr>
      <w:r>
        <w:t xml:space="preserve">&gt;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Medical Researcher in Germany Frankfurt</dc:title>
  <dc:creator/>
  <dc:language>en</dc:language>
  <cp:keywords/>
  <dcterms:created xsi:type="dcterms:W3CDTF">2026-07-29T20:36:20Z</dcterms:created>
  <dcterms:modified xsi:type="dcterms:W3CDTF">2026-07-29T20:36:20Z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