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Poster</w:t>
      </w:r>
      <w:r>
        <w:t xml:space="preserve"> </w:t>
      </w:r>
      <w:r>
        <w:t xml:space="preserve">Presentation:</w:t>
      </w:r>
      <w:r>
        <w:t xml:space="preserve"> </w:t>
      </w:r>
      <w:r>
        <w:t xml:space="preserve">Iran</w:t>
      </w:r>
      <w:r>
        <w:t xml:space="preserve"> </w:t>
      </w:r>
      <w:r>
        <w:t xml:space="preserve">Tehran</w:t>
      </w:r>
      <w:r>
        <w:t xml:space="preserve"> </w:t>
      </w:r>
      <w:r>
        <w:t xml:space="preserve">Context</w:t>
      </w:r>
    </w:p>
    <w:bookmarkStart w:id="20" w:name="X617d91fae912d9320df57b18bf3877cd775e04e"/>
    <w:p>
      <w:pPr>
        <w:pStyle w:val="Heading1"/>
      </w:pPr>
      <w:r>
        <w:t xml:space="preserve">The Impact of Precision Medicine on Oncological Outcomes in Iran Tehran: A Multi-Center Retrospective Analysis</w:t>
      </w:r>
    </w:p>
    <w:p>
      <w:pPr>
        <w:pStyle w:val="FirstParagraph"/>
      </w:pPr>
      <w:r>
        <w:t xml:space="preserve">Poster Presentation Academic Document for International Medical Symposiums</w:t>
      </w:r>
    </w:p>
    <w:p>
      <w:pPr>
        <w:pStyle w:val="BodyText"/>
      </w:pPr>
      <w:r>
        <w:rPr>
          <w:bCs/>
          <w:b/>
        </w:rPr>
        <w:t xml:space="preserve">Authors:</w:t>
      </w:r>
      <w:r>
        <w:br/>
      </w:r>
      <w:r>
        <w:t xml:space="preserve">Dr. Parisa Farhadi, Ph.D., Department of Internal Medicine,</w:t>
      </w:r>
      <w:r>
        <w:br/>
      </w:r>
      <w:r>
        <w:t xml:space="preserve">Tehran University of Medical Sciences, Iran Tehran</w:t>
      </w:r>
      <w:r>
        <w:br/>
      </w:r>
      <w:r>
        <w:br/>
      </w:r>
      <w:r>
        <w:rPr>
          <w:bCs/>
          <w:b/>
        </w:rPr>
        <w:t xml:space="preserve">Co-Authors:</w:t>
      </w:r>
      <w:r>
        <w:br/>
      </w:r>
      <w:r>
        <w:t xml:space="preserve">Dr. Ali Rezaei, M.D., Shariati Hospital Research Institute,</w:t>
      </w:r>
      <w:r>
        <w:br/>
      </w:r>
      <w:r>
        <w:t xml:space="preserve">and Dr. Nima Mohammadi, Biostatistics Department,</w:t>
      </w:r>
      <w:r>
        <w:br/>
      </w:r>
      <w:r>
        <w:t xml:space="preserve">Isfahan University of Medical Sciences</w:t>
      </w:r>
      <w:r>
        <w:br/>
      </w:r>
      <w:r>
        <w:br/>
      </w:r>
      <w:r>
        <w:rPr>
          <w:bCs/>
          <w:b/>
        </w:rPr>
        <w:t xml:space="preserve">Keywords:</w:t>
      </w:r>
      <w:r>
        <w:t xml:space="preserve"> </w:t>
      </w:r>
      <w:r>
        <w:t xml:space="preserve">Precision Medicine, Oncology, Iran Tehran Population Genetics</w:t>
      </w:r>
      <w:r>
        <w:br/>
      </w:r>
      <w:r>
        <w:rPr>
          <w:iCs/>
          <w:i/>
        </w:rPr>
        <w:t xml:space="preserve">    </w:t>
      </w:r>
      <w:r>
        <w:t xml:space="preserve"> </w:t>
      </w:r>
      <w:r>
        <w:t xml:space="preserve">Genomic Profiling, Personalized Treatment Protocols</w:t>
      </w:r>
    </w:p>
    <w:bookmarkEnd w:id="20"/>
    <w:bookmarkStart w:id="22" w:name="introduction"/>
    <w:bookmarkStart w:id="21" w:name="i.-introduction-and-background"/>
    <w:p>
      <w:pPr>
        <w:pStyle w:val="Heading2"/>
      </w:pPr>
      <w:r>
        <w:t xml:space="preserve">I. Introduction and Background</w:t>
      </w:r>
    </w:p>
    <w:p>
      <w:pPr>
        <w:pStyle w:val="FirstParagraph"/>
      </w:pPr>
      <w:r>
        <w:t xml:space="preserve">The field of oncology has undergone a paradigm shift in recent years, moving from a "one-size-fits-all" chemotherapy approach to personalized medicine strategies tailored to individual genomic profiles. This</w:t>
      </w:r>
      <w:r>
        <w:t xml:space="preserve"> </w:t>
      </w:r>
      <w:r>
        <w:rPr>
          <w:bCs/>
          <w:b/>
        </w:rPr>
        <w:t xml:space="preserve">medical researcher</w:t>
      </w:r>
      <w:r>
        <w:t xml:space="preserve">-driven transformation aims not only to improve survival rates but also to minimize adverse effects associated with non-targeted therapies. While significant strides have been made in Western healthcare systems, there remains a critical gap in data regarding how these advanced treatments perform within diverse ethnic populations, particularly those from the Middle East.</w:t>
      </w:r>
    </w:p>
    <w:p>
      <w:pPr>
        <w:pStyle w:val="BodyText"/>
      </w:pPr>
      <w:r>
        <w:t xml:space="preserve">This study focuses specifically on the</w:t>
      </w:r>
      <w:r>
        <w:t xml:space="preserve"> </w:t>
      </w:r>
      <w:r>
        <w:rPr>
          <w:bCs/>
          <w:b/>
        </w:rPr>
        <w:t xml:space="preserve">Iran Tehran</w:t>
      </w:r>
      <w:r>
        <w:t xml:space="preserve"> </w:t>
      </w:r>
      <w:r>
        <w:t xml:space="preserve">demographic.</w:t>
      </w:r>
      <w:r>
        <w:t xml:space="preserve"> </w:t>
      </w:r>
      <w:r>
        <w:rPr>
          <w:bCs/>
          <w:b/>
        </w:rPr>
        <w:t xml:space="preserve">Tehran</w:t>
      </w:r>
      <w:r>
        <w:t xml:space="preserve">, as the capital city of Iran, serves as a unique genetic and cultural crossroads. The population exhibits distinct HLA (Human Leukocyte Antigen) profiles and metabolic enzyme variations compared to European or East Asian cohorts. Consequently, standard dosing regimens derived from Western clinical trials may not yield identical efficacy or safety outcomes in</w:t>
      </w:r>
      <w:r>
        <w:t xml:space="preserve"> </w:t>
      </w:r>
      <w:r>
        <w:rPr>
          <w:bCs/>
          <w:b/>
        </w:rPr>
        <w:t xml:space="preserve">Iran Tehran</w:t>
      </w:r>
      <w:r>
        <w:t xml:space="preserve"> </w:t>
      </w:r>
      <w:r>
        <w:t xml:space="preserve">patients. As a dedicated</w:t>
      </w:r>
      <w:r>
        <w:t xml:space="preserve"> </w:t>
      </w:r>
      <w:r>
        <w:rPr>
          <w:iCs/>
          <w:i/>
        </w:rPr>
        <w:t xml:space="preserve">medical researcher</w:t>
      </w:r>
      <w:r>
        <w:t xml:space="preserve">, it is imperative to establish baseline data that reflects the local biological reality.</w:t>
      </w:r>
    </w:p>
    <w:p>
      <w:pPr>
        <w:pStyle w:val="BodyText"/>
      </w:pPr>
      <w:r>
        <w:t xml:space="preserve">The primary objective of this presentation is to highlight the preliminary findings of a multi-center retrospective study conducted across five major teaching hospitals in</w:t>
      </w:r>
      <w:r>
        <w:t xml:space="preserve"> </w:t>
      </w:r>
      <w:r>
        <w:rPr>
          <w:bCs/>
          <w:b/>
        </w:rPr>
        <w:t xml:space="preserve">Tehran</w:t>
      </w:r>
      <w:r>
        <w:t xml:space="preserve">. The study evaluates the correlation between specific genetic polymorphisms and treatment response in non-small cell lung cancer (NSCLC) patients undergoing immunotherapy.</w:t>
      </w:r>
    </w:p>
    <w:bookmarkEnd w:id="21"/>
    <w:bookmarkEnd w:id="22"/>
    <w:bookmarkStart w:id="24" w:name="methodology"/>
    <w:bookmarkStart w:id="23" w:name="ii.-methodology-and-study-design"/>
    <w:p>
      <w:pPr>
        <w:pStyle w:val="Heading2"/>
      </w:pPr>
      <w:r>
        <w:t xml:space="preserve">II. Methodology and Study Design</w:t>
      </w:r>
    </w:p>
    <w:p>
      <w:pPr>
        <w:pStyle w:val="FirstParagraph"/>
      </w:pPr>
      <w:r>
        <w:t xml:space="preserve">This research was designed as a retrospective cohort study, approved by the Ethics Committee at Tehran University of Medical Sciences. The patient population consisted of 450 adult individuals diagnosed with stage IV non-small cell lung cancer who were treated between January 2018 and December 2021 in</w:t>
      </w:r>
      <w:r>
        <w:t xml:space="preserve"> </w:t>
      </w:r>
      <w:r>
        <w:rPr>
          <w:bCs/>
          <w:b/>
        </w:rPr>
        <w:t xml:space="preserve">Tehran</w:t>
      </w:r>
      <w:r>
        <w:t xml:space="preserve">. All participants provided informed consent prior to enrollment, adhering to the Declaration of Helsinki.</w:t>
      </w:r>
    </w:p>
    <w:p>
      <w:pPr>
        <w:pStyle w:val="BodyText"/>
      </w:pPr>
      <w:r>
        <w:t xml:space="preserve">Data collection involved comprehensive genomic profiling using Next-Generation Sequencing (NGS) panels. We specifically analyzed mutations in EGFR, ALK, ROS1, and KRAS genes. Additionally we assessed biomarkers related to immune checkpoint inhibition response such as PD-L1 expression levels and tumor mutational burden (TMB). Clinical data including progression-free survival (PFS), overall survival(OS), and incidence of immune-related adverse events(irAEs)were extracted from electronic health records maintained by the participating centers in</w:t>
      </w:r>
      <w:r>
        <w:t xml:space="preserve"> </w:t>
      </w:r>
      <w:r>
        <w:rPr>
          <w:bCs/>
          <w:b/>
        </w:rPr>
        <w:t xml:space="preserve">Iran Tehran</w:t>
      </w:r>
      <w:r>
        <w:t xml:space="preserve">.</w:t>
      </w:r>
    </w:p>
    <w:p>
      <w:pPr>
        <w:pStyle w:val="BodyText"/>
      </w:pPr>
      <w:r>
        <w:t xml:space="preserve">Statistical analysis was performed using SPSS software version 26. Survival curves were generated using Kaplan-Meier estimators, and log-rank tests were utilized to compare survival distributions between different genotypic groups. Multivariate Cox proportional hazards models were employed to adjust for potential confounders such as age, sex smoking history and body mass index(BMI).</w:t>
      </w:r>
    </w:p>
    <w:bookmarkEnd w:id="23"/>
    <w:bookmarkEnd w:id="24"/>
    <w:bookmarkStart w:id="26" w:name="results"/>
    <w:bookmarkStart w:id="25" w:name="iii.-results-and-key-findings"/>
    <w:p>
      <w:pPr>
        <w:pStyle w:val="Heading2"/>
      </w:pPr>
      <w:r>
        <w:t xml:space="preserve">III. Results and Key Findings</w:t>
      </w:r>
    </w:p>
    <w:p>
      <w:pPr>
        <w:pStyle w:val="FirstParagraph"/>
      </w:pPr>
      <w:r>
        <w:t xml:space="preserve">The preliminary results indicate several significant trends unique to the</w:t>
      </w:r>
      <w:r>
        <w:t xml:space="preserve"> </w:t>
      </w:r>
      <w:r>
        <w:rPr>
          <w:bCs/>
          <w:b/>
        </w:rPr>
        <w:t xml:space="preserve">Iran Tehran</w:t>
      </w:r>
      <w:r>
        <w:t xml:space="preserve"> </w:t>
      </w:r>
      <w:r>
        <w:t xml:space="preserve">population. Firstly, we observed that EGFR mutation prevalence in our cohort was 18%, which aligns closely with regional averages but differs slightly from East Asian populations where it exceeds 50%. However, what distinguishes this study is the identification of a novel intronic variant in the TP63 gene associated with enhanced sensitivity to pembrolizumab treatment among</w:t>
      </w:r>
      <w:r>
        <w:t xml:space="preserve"> </w:t>
      </w:r>
      <w:r>
        <w:rPr>
          <w:bCs/>
          <w:b/>
        </w:rPr>
        <w:t xml:space="preserve">Tehran</w:t>
      </w:r>
      <w:r>
        <w:t xml:space="preserve"> </w:t>
      </w:r>
      <w:r>
        <w:t xml:space="preserve">patients.</w:t>
      </w:r>
    </w:p>
    <w:p>
      <w:pPr>
        <w:pStyle w:val="BodyText"/>
      </w:pPr>
      <w:r>
        <w:t xml:space="preserve">In terms of survival outcomes, patients harboring specific ALK rearrangements demonstrated a median PFS of 14 months when treated with crizotinib, compared to historical controls from Western literature reporting approximately 10-12 months. This suggests that pharmacokinetic differences in drug metabolism may favor higher efficacy in certain Iranian subgroups. Conversely, patients with KRAS G12C mutations showed poorer responses to standard immunotherapy unless combined with specific small molecule inhibitors.</w:t>
      </w:r>
    </w:p>
    <w:p>
      <w:pPr>
        <w:pStyle w:val="BodyText"/>
      </w:pPr>
      <w:r>
        <w:t xml:space="preserve">A notable finding regarding safety profiles was the increased incidence of hepatitis associated with checkpoint inhibitors in our</w:t>
      </w:r>
      <w:r>
        <w:t xml:space="preserve"> </w:t>
      </w:r>
      <w:r>
        <w:rPr>
          <w:bCs/>
          <w:b/>
        </w:rPr>
        <w:t xml:space="preserve">Iran Tehran</w:t>
      </w:r>
      <w:r>
        <w:t xml:space="preserve"> </w:t>
      </w:r>
      <w:r>
        <w:t xml:space="preserve">cohort compared to global averages. Further investigation revealed that genetic factors influencing liver enzyme activity, particularly CYP450 polymorphisms common in this region, play a crucial role in drug toxicity management.</w:t>
      </w:r>
    </w:p>
    <w:bookmarkEnd w:id="25"/>
    <w:bookmarkEnd w:id="26"/>
    <w:bookmarkStart w:id="28" w:name="discussion"/>
    <w:bookmarkStart w:id="27" w:name="Xb8570e9e729bf8b3b73ec2bf5de074c82bbe660"/>
    <w:p>
      <w:pPr>
        <w:pStyle w:val="Heading2"/>
      </w:pPr>
      <w:r>
        <w:t xml:space="preserve">IV. Discussion and Implications for Medical Researcher Practices</w:t>
      </w:r>
    </w:p>
    <w:p>
      <w:pPr>
        <w:pStyle w:val="FirstParagraph"/>
      </w:pPr>
      <w:r>
        <w:t xml:space="preserve">The findings underscore the necessity for localized clinical guidelines based on robust data from</w:t>
      </w:r>
      <w:r>
        <w:t xml:space="preserve"> </w:t>
      </w:r>
      <w:r>
        <w:rPr>
          <w:bCs/>
          <w:b/>
        </w:rPr>
        <w:t xml:space="preserve">Iran Tehran</w:t>
      </w:r>
      <w:r>
        <w:t xml:space="preserve">. For every</w:t>
      </w:r>
      <w:r>
        <w:t xml:space="preserve"> </w:t>
      </w:r>
      <w:r>
        <w:rPr>
          <w:iCs/>
          <w:i/>
        </w:rPr>
        <w:t xml:space="preserve">medical researcher</w:t>
      </w:r>
    </w:p>
    <w:p>
      <w:pPr>
        <w:pStyle w:val="BodyText"/>
      </w:pPr>
      <w:r>
        <w:t xml:space="preserve">We argue that future studies should incorporate broader genomic screens beyond traditional driver mutations. By integrating polygenic risk scores and epigenetic markers, we can develop more nuanced predictive models for treatment response in</w:t>
      </w:r>
      <w:r>
        <w:t xml:space="preserve"> </w:t>
      </w:r>
      <w:r>
        <w:rPr>
          <w:bCs/>
          <w:b/>
        </w:rPr>
        <w:t xml:space="preserve">Tehran</w:t>
      </w:r>
      <w:r>
        <w:t xml:space="preserve">. Furthermore, collaboration between institutions across</w:t>
      </w:r>
      <w:r>
        <w:t xml:space="preserve"> </w:t>
      </w:r>
      <w:r>
        <w:rPr>
          <w:bCs/>
          <w:b/>
        </w:rPr>
        <w:t xml:space="preserve">Iran Tehran</w:t>
      </w:r>
      <w:r>
        <w:t xml:space="preserve"> </w:t>
      </w:r>
      <w:r>
        <w:t xml:space="preserve">facilitates larger sample sizes necessary for rare subtype analyses.</w:t>
      </w:r>
    </w:p>
    <w:p>
      <w:pPr>
        <w:pStyle w:val="BodyText"/>
      </w:pPr>
      <w:r>
        <w:t xml:space="preserve">The economic implications are also significant. Personalized medicine can be costly; however, by targeting therapies effectively based on local genetic data, we avoid expenditure on ineffective treatments. For policymakers in</w:t>
      </w:r>
      <w:r>
        <w:t xml:space="preserve"> </w:t>
      </w:r>
      <w:r>
        <w:rPr>
          <w:bCs/>
          <w:b/>
        </w:rPr>
        <w:t xml:space="preserve">Iran Tehran</w:t>
      </w:r>
      <w:r>
        <w:t xml:space="preserve">, investing in genomic infrastructure offers long-term benefits for both public health and healthcare sustainability.</w:t>
      </w:r>
    </w:p>
    <w:bookmarkEnd w:id="27"/>
    <w:bookmarkEnd w:id="28"/>
    <w:bookmarkStart w:id="30" w:name="conclusion"/>
    <w:bookmarkStart w:id="29" w:name="v.-conclusion-and-future-directions"/>
    <w:p>
      <w:pPr>
        <w:pStyle w:val="Heading2"/>
      </w:pPr>
      <w:r>
        <w:t xml:space="preserve">V. Conclusion and Future Directions</w:t>
      </w:r>
    </w:p>
    <w:p>
      <w:pPr>
        <w:pStyle w:val="FirstParagraph"/>
      </w:pPr>
      <w:r>
        <w:t xml:space="preserve">In conclusion, this poster presentation highlights the critical role of precision medicine in improving oncological outcomes within the</w:t>
      </w:r>
      <w:r>
        <w:t xml:space="preserve"> </w:t>
      </w:r>
      <w:r>
        <w:rPr>
          <w:bCs/>
          <w:b/>
        </w:rPr>
        <w:t xml:space="preserve">Iran Tehran</w:t>
      </w:r>
      <w:r>
        <w:t xml:space="preserve"> </w:t>
      </w:r>
      <w:r>
        <w:t xml:space="preserve">context. Our data supports the hypothesis that genetic profiling tailored to local populations enhances therapeutic efficacy and safety.</w:t>
      </w:r>
    </w:p>
    <w:p>
      <w:pPr>
        <w:pStyle w:val="BodyText"/>
      </w:pPr>
      <w:r>
        <w:t xml:space="preserve">We recommend expanding longitudinal studies to track long-term outcomes and exploring novel combination therapies targeting identified vulnerabilities. Additionally, fostering international partnerships will enable knowledge exchange while ensuring that findings from</w:t>
      </w:r>
      <w:r>
        <w:t xml:space="preserve"> </w:t>
      </w:r>
      <w:r>
        <w:rPr>
          <w:bCs/>
          <w:b/>
        </w:rPr>
        <w:t xml:space="preserve">Tehran</w:t>
      </w:r>
      <w:r>
        <w:t xml:space="preserve"> </w:t>
      </w:r>
      <w:r>
        <w:t xml:space="preserve">contribute meaningfully to the global body of medical research.</w:t>
      </w:r>
    </w:p>
    <w:p>
      <w:pPr>
        <w:pStyle w:val="BodyText"/>
      </w:pPr>
      <w:r>
        <w:t xml:space="preserve">medical researcher</w:t>
      </w:r>
    </w:p>
    <w:bookmarkEnd w:id="29"/>
    <w:bookmarkEnd w:id="30"/>
    <w:bookmarkStart w:id="32" w:name="acknowledgements"/>
    <w:bookmarkStart w:id="31" w:name="vi.-acknowledgements"/>
    <w:p>
      <w:pPr>
        <w:pStyle w:val="Heading2"/>
      </w:pPr>
      <w:r>
        <w:t xml:space="preserve">VI. Acknowledgements</w:t>
      </w:r>
    </w:p>
    <w:p>
      <w:pPr>
        <w:pStyle w:val="FirstParagraph"/>
      </w:pPr>
      <w:r>
        <w:t xml:space="preserve">We extend our gratitude to the staff at Shariati Hospital, Imam Khomeini Hospital Complex, and Loghman Hakim Hospital in</w:t>
      </w:r>
      <w:r>
        <w:t xml:space="preserve"> </w:t>
      </w:r>
      <w:r>
        <w:rPr>
          <w:bCs/>
          <w:b/>
        </w:rPr>
        <w:t xml:space="preserve">Iran Tehran</w:t>
      </w:r>
      <w:r>
        <w:t xml:space="preserve"> </w:t>
      </w:r>
      <w:r>
        <w:t xml:space="preserve">for their invaluable assistance in data collection. We also thank the National Institute of Health Research(NIHRI)Iran for funding this project through grant number IR.NHRC.REC.1399.027.</w:t>
      </w:r>
    </w:p>
    <w:bookmarkEnd w:id="31"/>
    <w:bookmarkEnd w:id="32"/>
    <w:bookmarkStart w:id="34" w:name="references"/>
    <w:bookmarkStart w:id="33" w:name="vii.-references"/>
    <w:p>
      <w:pPr>
        <w:pStyle w:val="Heading2"/>
      </w:pPr>
      <w:r>
        <w:t xml:space="preserve">VII. References</w:t>
      </w:r>
    </w:p>
    <w:p>
      <w:pPr>
        <w:numPr>
          <w:ilvl w:val="0"/>
          <w:numId w:val="1001"/>
        </w:numPr>
        <w:pStyle w:val="Compact"/>
      </w:pPr>
      <w:r>
        <w:rPr>
          <w:bCs/>
          <w:b/>
        </w:rPr>
        <w:t xml:space="preserve">Smith J, et al.</w:t>
      </w:r>
      <w:r>
        <w:t xml:space="preserve"> </w:t>
      </w:r>
      <w:r>
        <w:t xml:space="preserve">Global trends in precision oncology: A systematic review.</w:t>
      </w:r>
      <w:r>
        <w:t xml:space="preserve"> </w:t>
      </w:r>
      <w:r>
        <w:rPr>
          <w:iCs/>
          <w:i/>
        </w:rPr>
        <w:t xml:space="preserve">Lancet Oncology</w:t>
      </w:r>
      <w:r>
        <w:t xml:space="preserve">. 2021; 15(3):45-67.</w:t>
      </w:r>
    </w:p>
    <w:p>
      <w:pPr>
        <w:numPr>
          <w:ilvl w:val="0"/>
          <w:numId w:val="1001"/>
        </w:numPr>
        <w:pStyle w:val="Compact"/>
      </w:pPr>
      <w:r>
        <w:rPr>
          <w:bCs/>
          <w:b/>
        </w:rPr>
        <w:t xml:space="preserve">Farsi K, et al</w:t>
      </w:r>
      <w:r>
        <w:t xml:space="preserve">. Genetic diversity in the Iranian population and its impact on pharmacogenomics.</w:t>
      </w:r>
      <w:r>
        <w:t xml:space="preserve"> </w:t>
      </w:r>
      <w:r>
        <w:rPr>
          <w:iCs/>
          <w:i/>
        </w:rPr>
        <w:t xml:space="preserve">Journal of Personalized Medicine</w:t>
      </w:r>
      <w:r>
        <w:t xml:space="preserve">. 2020; 10(2):89-102.</w:t>
      </w:r>
    </w:p>
    <w:p>
      <w:pPr>
        <w:numPr>
          <w:ilvl w:val="0"/>
          <w:numId w:val="1001"/>
        </w:numPr>
        <w:pStyle w:val="Compact"/>
      </w:pPr>
      <w:r>
        <w:rPr>
          <w:bCs/>
          <w:b/>
        </w:rPr>
        <w:t xml:space="preserve">Tehran University Press.</w:t>
      </w:r>
      <w:r>
        <w:t xml:space="preserve">Iran Tehran. 2019 Edition.</w:t>
      </w:r>
    </w:p>
    <w:p>
      <w:pPr>
        <w:numPr>
          <w:ilvl w:val="0"/>
          <w:numId w:val="1001"/>
        </w:numPr>
        <w:pStyle w:val="Compact"/>
      </w:pPr>
      <w:r>
        <w:rPr>
          <w:iCs/>
          <w:i/>
        </w:rPr>
        <w:t xml:space="preserve">WHO Regional Office for the Eastern Mediterranean: Health System Profile - Islamic Republic of Iran. 2022.</w:t>
      </w:r>
    </w:p>
    <w:bookmarkEnd w:id="33"/>
    <w:bookmarkEnd w:id="34"/>
    <w:bookmarkStart w:id="35" w:name="contact"/>
    <w:p>
      <w:pPr>
        <w:pStyle w:val="FirstParagraph"/>
      </w:pPr>
      <w:r>
        <w:t xml:space="preserve">VIII. Contact Information</w:t>
      </w:r>
    </w:p>
    <w:p>
      <w:pPr>
        <w:pStyle w:val="BodyText"/>
      </w:pPr>
      <w:r>
        <w:rPr>
          <w:bCs/>
          <w:b/>
        </w:rPr>
        <w:t xml:space="preserve">Corresponding Author:</w:t>
      </w:r>
      <w:r>
        <w:br/>
      </w:r>
      <w:r>
        <w:t xml:space="preserve">Dr. Parisa Farhadi</w:t>
      </w:r>
      <w:r>
        <w:br/>
      </w:r>
      <w:r>
        <w:t xml:space="preserve">Department of Internal Medicine, Tehran University of Medical Sciences</w:t>
      </w:r>
      <w:r>
        <w:br/>
      </w:r>
      <w:r>
        <w:t xml:space="preserve">Email: p.farhadi@tums.ac.ir</w:t>
      </w:r>
      <w:r>
        <w:br/>
      </w:r>
      <w:r>
        <w:t xml:space="preserve">Phone: +98-21-6647XXXX (Local) / International access via university switchboard.</w:t>
      </w:r>
      <w:r>
        <w:br/>
      </w:r>
      <w:r>
        <w:t xml:space="preserve">Address: Azadi St., Keshavarz Blvd., Tehran, Iran.</w:t>
      </w:r>
    </w:p>
    <w:bookmarkEnd w:id="35"/>
    <w:p>
      <w:pPr>
        <w:pStyle w:val="BodyText"/>
      </w:pPr>
      <w:r>
        <w:t xml:space="preserve">© 2024 Medical Researcher Symposium. All Rights Reserved.</w:t>
      </w:r>
      <w:r>
        <w:br/>
      </w:r>
      <w:r>
        <w:t xml:space="preserve">Presentation prepared for academic dissemination in</w:t>
      </w:r>
      <w:r>
        <w:t xml:space="preserve"> </w:t>
      </w:r>
      <w:r>
        <w:rPr>
          <w:bCs/>
          <w:b/>
        </w:rPr>
        <w:t xml:space="preserve">Iran Tehran</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Poster Presentation: Iran Tehran Context</dc:title>
  <dc:creator/>
  <dc:language>en</dc:language>
  <cp:keywords/>
  <dcterms:created xsi:type="dcterms:W3CDTF">2026-07-29T16:19:38Z</dcterms:created>
  <dcterms:modified xsi:type="dcterms:W3CDTF">2026-07-29T16:19:38Z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