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Kenya</w:t>
      </w:r>
      <w:r>
        <w:t xml:space="preserve"> </w:t>
      </w:r>
      <w:r>
        <w:t xml:space="preserve">Nairobi</w:t>
      </w:r>
    </w:p>
    <w:bookmarkStart w:id="31" w:name="Xe0c1ab0ece71fa0e98cfdc77b3d6f58ace6cfd5"/>
    <w:p>
      <w:pPr>
        <w:pStyle w:val="Heading1"/>
      </w:pPr>
      <w:r>
        <w:t xml:space="preserve">Advancing Health Equity in Urban Africa: A Medical Researcher’s Perspective on Nairobi’s Public Health Landscape</w:t>
      </w:r>
    </w:p>
    <w:p>
      <w:r>
        <w:pict>
          <v:rect style="width:0;height:1.5pt" o:hralign="center" o:hrstd="t" o:hr="t"/>
        </w:pict>
      </w:r>
    </w:p>
    <w:p>
      <w:pPr>
        <w:pStyle w:val="FirstParagraph"/>
      </w:pPr>
      <w:r>
        <w:rPr>
          <w:bCs/>
          <w:b/>
        </w:rPr>
        <w:t xml:space="preserve">Date:</w:t>
      </w:r>
      <w:r>
        <w:t xml:space="preserve"> </w:t>
      </w:r>
      <w:r>
        <w:t xml:space="preserve">October 24,</w:t>
      </w:r>
      <w:r>
        <w:t xml:space="preserve"> </w:t>
      </w:r>
      <w:r>
        <w:t xml:space="preserve">2023</w:t>
      </w:r>
    </w:p>
    <w:p>
      <w:pPr>
        <w:pStyle w:val="BodyText"/>
      </w:pPr>
      <w:r>
        <w:rPr>
          <w:bCs/>
          <w:b/>
        </w:rPr>
        <w:t xml:space="preserve">Presentation Type:</w:t>
      </w:r>
      <w:r>
        <w:t xml:space="preserve"> </w:t>
      </w:r>
      <w:r>
        <w:t xml:space="preserve">Poster Presentation Academic Document</w:t>
      </w:r>
    </w:p>
    <w:p>
      <w:pPr>
        <w:pStyle w:val="BodyText"/>
      </w:pPr>
      <w:r>
        <w:rPr>
          <w:bCs/>
          <w:b/>
        </w:rPr>
        <w:t xml:space="preserve">Audience Context:</w:t>
      </w:r>
    </w:p>
    <w:p>
      <w:r>
        <w:pict>
          <v:rect style="width:0;height:1.5pt" o:hralign="center" o:hrstd="t" o:hr="t"/>
        </w:pict>
      </w:r>
    </w:p>
    <w:bookmarkStart w:id="20" w:name="introduction"/>
    <w:p>
      <w:pPr>
        <w:pStyle w:val="Heading2"/>
      </w:pPr>
      <w:r>
        <w:t xml:space="preserve">1. Introduction and Background</w:t>
      </w:r>
    </w:p>
    <w:p>
      <w:pPr>
        <w:pStyle w:val="FirstParagraph"/>
      </w:pPr>
      <w:r>
        <w:t xml:space="preserve">Nairobi, the capital city of Kenya, represents a unique microcosm of rapid urbanization juxtaposed with significant healthcare disparities. As a</w:t>
      </w:r>
      <w:r>
        <w:t xml:space="preserve"> </w:t>
      </w:r>
      <w:r>
        <w:rPr>
          <w:bCs/>
          <w:b/>
        </w:rPr>
        <w:t xml:space="preserve">Medical Researcher</w:t>
      </w:r>
      <w:r>
        <w:t xml:space="preserve">, navigating this complex environment is both a challenge and an opportunity for innovation. The bustling metropolis serves as a hub for epidemiological studies, infectious disease monitoring, and non-communicable disease (NCD) research. This poster outlines key findings from our longitudinal study conducted within the diverse neighborhoods of Nairobi, focusing on the intersection of socioeconomic status and health outcomes.</w:t>
      </w:r>
    </w:p>
    <w:p>
      <w:pPr>
        <w:pStyle w:val="BodyText"/>
      </w:pPr>
      <w:r>
        <w:t xml:space="preserve">The primary objective was to investigate how urban density in Nairobi influences access to preventive care for infectious diseases such as tuberculosis (TB), HIV/AIDS, and malaria. Furthermore, we examined the rising prevalence of hypertension and diabetes among Kenya’s growing middle class. By situating our work firmly within this vibrant yet challenging context, we aim to provide actionable data that can inform policy at both local county levels and national health ministries.</w:t>
      </w:r>
    </w:p>
    <w:bookmarkEnd w:id="20"/>
    <w:bookmarkStart w:id="21" w:name="objectives"/>
    <w:p>
      <w:pPr>
        <w:pStyle w:val="Heading2"/>
      </w:pPr>
      <w:r>
        <w:t xml:space="preserve">2. Research Objectives</w:t>
      </w:r>
    </w:p>
    <w:p>
      <w:pPr>
        <w:pStyle w:val="FirstParagraph"/>
      </w:pPr>
      <w:r>
        <w:t xml:space="preserve">The</w:t>
      </w:r>
      <w:r>
        <w:t xml:space="preserve"> </w:t>
      </w:r>
      <w:r>
        <w:rPr>
          <w:bCs/>
          <w:b/>
        </w:rPr>
        <w:t xml:space="preserve">Medical Researcher</w:t>
      </w:r>
      <w:r>
        <w:t xml:space="preserve">'s approach in this study was guided by three core objectives:</w:t>
      </w:r>
    </w:p>
    <w:p>
      <w:pPr>
        <w:numPr>
          <w:ilvl w:val="0"/>
          <w:numId w:val="1001"/>
        </w:numPr>
        <w:pStyle w:val="Compact"/>
      </w:pPr>
      <w:r>
        <w:rPr>
          <w:bCs/>
          <w:b/>
        </w:rPr>
        <w:t xml:space="preserve">To Assess Access Barriers:</w:t>
      </w:r>
    </w:p>
    <w:p>
      <w:pPr>
        <w:numPr>
          <w:ilvl w:val="0"/>
          <w:numId w:val="1001"/>
        </w:numPr>
        <w:pStyle w:val="Compact"/>
      </w:pPr>
      <w:r>
        <w:rPr>
          <w:bCs/>
          <w:b/>
        </w:rPr>
        <w:t xml:space="preserve">To Evaluate NCD Trends:</w:t>
      </w:r>
    </w:p>
    <w:p>
      <w:pPr>
        <w:numPr>
          <w:ilvl w:val="0"/>
          <w:numId w:val="1001"/>
        </w:numPr>
        <w:pStyle w:val="Compact"/>
      </w:pPr>
      <w:r>
        <w:rPr>
          <w:bCs/>
          <w:b/>
        </w:rPr>
        <w:t xml:space="preserve">To Propose Community-Led Interventions:</w:t>
      </w:r>
    </w:p>
    <w:bookmarkEnd w:id="21"/>
    <w:bookmarkStart w:id="22" w:name="methodology"/>
    <w:p>
      <w:pPr>
        <w:pStyle w:val="Heading2"/>
      </w:pPr>
      <w:r>
        <w:t xml:space="preserve">3. Methodology: The Medical Researcher’s Approach</w:t>
      </w:r>
    </w:p>
    <w:p>
      <w:pPr>
        <w:pStyle w:val="FirstParagraph"/>
      </w:pPr>
      <w:r>
        <w:t xml:space="preserve">This study employed a mixed-methods approach, combining quantitative epidemiological data with qualitative ethnographic insights. Data collection spanned eighteen months across three distinct constituencies in Nairobi, selected for their varying demographic profiles and infrastructure levels.</w:t>
      </w:r>
    </w:p>
    <w:p>
      <w:pPr>
        <w:numPr>
          <w:ilvl w:val="0"/>
          <w:numId w:val="1002"/>
        </w:numPr>
        <w:pStyle w:val="Compact"/>
      </w:pPr>
      <w:r>
        <w:rPr>
          <w:bCs/>
          <w:b/>
        </w:rPr>
        <w:t xml:space="preserve">Quantitative Survey:</w:t>
      </w:r>
    </w:p>
    <w:p>
      <w:pPr>
        <w:numPr>
          <w:ilvl w:val="0"/>
          <w:numId w:val="1002"/>
        </w:numPr>
        <w:pStyle w:val="Compact"/>
      </w:pPr>
      <w:r>
        <w:rPr>
          <w:bCs/>
          <w:b/>
        </w:rPr>
        <w:t xml:space="preserve">Semi-Structured Interviews:</w:t>
      </w:r>
    </w:p>
    <w:p>
      <w:pPr>
        <w:numPr>
          <w:ilvl w:val="0"/>
          <w:numId w:val="1002"/>
        </w:numPr>
        <w:pStyle w:val="Compact"/>
      </w:pPr>
      <w:r>
        <w:rPr>
          <w:bCs/>
          <w:b/>
        </w:rPr>
        <w:t xml:space="preserve">Focus Group Discussions:</w:t>
      </w:r>
    </w:p>
    <w:bookmarkEnd w:id="22"/>
    <w:bookmarkStart w:id="26" w:name="findings"/>
    <w:p>
      <w:pPr>
        <w:pStyle w:val="Heading2"/>
      </w:pPr>
      <w:r>
        <w:t xml:space="preserve">4. Key Findings</w:t>
      </w:r>
    </w:p>
    <w:p>
      <w:pPr>
        <w:pStyle w:val="FirstParagraph"/>
      </w:pPr>
      <w:r>
        <w:t xml:space="preserve">The data reveals a stark dichotomy within Nairobi’s healthcare landscape. While wealthier areas boast private facilities with advanced diagnostic tools, residents of informal settlements often rely on under-resourced public clinics or unlicensed practitioners due to proximity and cost.</w:t>
      </w:r>
    </w:p>
    <w:bookmarkStart w:id="23" w:name="infectious-disease-dynamics"/>
    <w:p>
      <w:pPr>
        <w:pStyle w:val="Heading3"/>
      </w:pPr>
      <w:r>
        <w:t xml:space="preserve">4.1 Infectious Disease Dynamics</w:t>
      </w:r>
    </w:p>
    <w:p>
      <w:pPr>
        <w:pStyle w:val="FirstParagraph"/>
      </w:pPr>
      <w:r>
        <w:t xml:space="preserve">Infectious diseases remain a critical burden in Nairobi. Our data indicates that TB transmission rates are significantly higher in densely populated areas where ventilation standards in housing are poor. Despite national campaigns, stigma continues to deter early testing for HIV/AIDS among young adults.</w:t>
      </w:r>
    </w:p>
    <w:bookmarkEnd w:id="23"/>
    <w:bookmarkStart w:id="24" w:name="the-rise-of-chronic-illness"/>
    <w:p>
      <w:pPr>
        <w:pStyle w:val="Heading3"/>
      </w:pPr>
      <w:r>
        <w:t xml:space="preserve">4.2 The Rise of Chronic Illness</w:t>
      </w:r>
    </w:p>
    <w:p>
      <w:pPr>
        <w:pStyle w:val="FirstParagraph"/>
      </w:pPr>
      <w:r>
        <w:t xml:space="preserve">A concerning trend identified by this</w:t>
      </w:r>
      <w:r>
        <w:t xml:space="preserve"> </w:t>
      </w:r>
      <w:r>
        <w:rPr>
          <w:bCs/>
          <w:b/>
        </w:rPr>
        <w:t xml:space="preserve">Medical Researcher</w:t>
      </w:r>
      <w:r>
        <w:t xml:space="preserve">-led study is the "double burden of disease." Many households now face simultaneous challenges from infectious diseases and chronic NCDs. Hypertension prevalence was found to be alarmingly high, with over 40% of participants in certain urban wards unaware they had high blood pressure due to lack of routine screening.</w:t>
      </w:r>
    </w:p>
    <w:bookmarkEnd w:id="24"/>
    <w:bookmarkStart w:id="25" w:name="economic-barriers"/>
    <w:p>
      <w:pPr>
        <w:pStyle w:val="Heading3"/>
      </w:pPr>
      <w:r>
        <w:t xml:space="preserve">4.3 Economic Barriers</w:t>
      </w:r>
    </w:p>
    <w:p>
      <w:pPr>
        <w:pStyle w:val="FirstParagraph"/>
      </w:pPr>
      <w:r>
        <w:t xml:space="preserve">Transport costs constitute a significant portion of out-of-pocket health expenditure for Nairobi’s low-income earners. For many, the cost of traveling to a public clinic outweighs the value they place on preventive care, leading to delayed treatment and worse health outcomes.</w:t>
      </w:r>
    </w:p>
    <w:bookmarkEnd w:id="25"/>
    <w:bookmarkEnd w:id="26"/>
    <w:bookmarkStart w:id="27" w:name="implications"/>
    <w:p>
      <w:pPr>
        <w:pStyle w:val="Heading2"/>
      </w:pPr>
      <w:r>
        <w:t xml:space="preserve">5. Implications for Public Health Policy</w:t>
      </w:r>
    </w:p>
    <w:p>
      <w:pPr>
        <w:pStyle w:val="FirstParagraph"/>
      </w:pPr>
      <w:r>
        <w:t xml:space="preserve">The findings necessitate a paradigm shift in how healthcare is delivered in urban Africa. The traditional hospital-centric model is insufficient for addressing the nuanced needs of Nairobi’s population. We propose the following evidence-based strategies:</w:t>
      </w:r>
    </w:p>
    <w:p>
      <w:pPr>
        <w:numPr>
          <w:ilvl w:val="0"/>
          <w:numId w:val="1003"/>
        </w:numPr>
        <w:pStyle w:val="Compact"/>
      </w:pPr>
      <w:r>
        <w:rPr>
          <w:bCs/>
          <w:b/>
        </w:rPr>
        <w:t xml:space="preserve">Decentralization of Services:</w:t>
      </w:r>
    </w:p>
    <w:p>
      <w:pPr>
        <w:numPr>
          <w:ilvl w:val="0"/>
          <w:numId w:val="1003"/>
        </w:numPr>
        <w:pStyle w:val="Compact"/>
      </w:pPr>
      <w:r>
        <w:rPr>
          <w:bCs/>
          <w:b/>
        </w:rPr>
        <w:t xml:space="preserve">Digital Health Integration:</w:t>
      </w:r>
    </w:p>
    <w:p>
      <w:pPr>
        <w:numPr>
          <w:ilvl w:val="0"/>
          <w:numId w:val="1003"/>
        </w:numPr>
        <w:pStyle w:val="Compact"/>
      </w:pPr>
      <w:r>
        <w:rPr>
          <w:bCs/>
          <w:b/>
        </w:rPr>
        <w:t xml:space="preserve">Community Health Worker (CHW) Empowerment:</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Poster Presentation Academic Document</w:t>
      </w:r>
      <w:r>
        <w:t xml:space="preserve"> </w:t>
      </w:r>
      <w:r>
        <w:t xml:space="preserve">underscores the critical role that rigorous scientific inquiry plays in shaping health policy in developing urban centers. As a</w:t>
      </w:r>
      <w:r>
        <w:t xml:space="preserve"> </w:t>
      </w:r>
      <w:r>
        <w:rPr>
          <w:bCs/>
          <w:b/>
        </w:rPr>
        <w:t xml:space="preserve">Medical Researcher</w:t>
      </w:r>
      <w:r>
        <w:t xml:space="preserve">, witnessing the resilience of Nairobi’s communities while grappling with systemic health inequities has been both humbling and motivating. The data presented here is not merely academic; it represents a call to action for policymakers, international NGOs, and local stakeholders.</w:t>
      </w:r>
    </w:p>
    <w:p>
      <w:pPr>
        <w:pStyle w:val="BodyText"/>
      </w:pPr>
      <w:r>
        <w:t xml:space="preserve">By addressing the specific needs of Nairobi’s residents through targeted interventions, we can significantly improve health equity. This research serves as a blueprint for other rapidly urbanizing regions in Sub-Saharan Africa facing similar challenges. The future of public health in Kenya depends on our ability to adapt quickly, innovate effectively, and remain deeply connected to the communities we serve.</w:t>
      </w:r>
    </w:p>
    <w:bookmarkEnd w:id="28"/>
    <w:bookmarkStart w:id="29" w:name="acknowledgments"/>
    <w:p>
      <w:pPr>
        <w:pStyle w:val="Heading2"/>
      </w:pPr>
      <w:r>
        <w:t xml:space="preserve">7. Acknowledgments</w:t>
      </w:r>
    </w:p>
    <w:p>
      <w:pPr>
        <w:pStyle w:val="FirstParagraph"/>
      </w:pPr>
      <w:r>
        <w:t xml:space="preserve">We extend our gratitude to the National Hospital Kenya for their administrative support, the community leaders of Nairobi’s informal settlements for their trust and participation, and our funding partners who made this</w:t>
      </w:r>
      <w:r>
        <w:t xml:space="preserve"> </w:t>
      </w:r>
      <w:r>
        <w:rPr>
          <w:bCs/>
          <w:b/>
        </w:rPr>
        <w:t xml:space="preserve">Medical Researcher</w:t>
      </w:r>
      <w:r>
        <w:t xml:space="preserve">-driven initiative possible. Special thanks go to the local public health officers in Kenya Nairobi who assisted with data collection logistics.</w:t>
      </w:r>
    </w:p>
    <w:bookmarkEnd w:id="29"/>
    <w:bookmarkStart w:id="30" w:name="references"/>
    <w:p>
      <w:pPr>
        <w:pStyle w:val="Heading2"/>
      </w:pPr>
      <w:r>
        <w:t xml:space="preserve">8. Selected References</w:t>
      </w:r>
    </w:p>
    <w:p>
      <w:pPr>
        <w:numPr>
          <w:ilvl w:val="0"/>
          <w:numId w:val="1004"/>
        </w:numPr>
        <w:pStyle w:val="Compact"/>
      </w:pPr>
      <w:r>
        <w:rPr>
          <w:iCs/>
          <w:i/>
        </w:rPr>
        <w:t xml:space="preserve">National Bureau of Statistics, Republic of Kenya. (Year). Living Standards Measurement Study.</w:t>
      </w:r>
    </w:p>
    <w:p>
      <w:pPr>
        <w:numPr>
          <w:ilvl w:val="0"/>
          <w:numId w:val="1004"/>
        </w:numPr>
        <w:pStyle w:val="Compact"/>
      </w:pPr>
      <w:r>
        <w:rPr>
          <w:iCs/>
          <w:i/>
        </w:rPr>
        <w:t xml:space="preserve">Kenya Demographic and Health Survey (KDHS). Latest Edition.</w:t>
      </w:r>
    </w:p>
    <w:p>
      <w:pPr>
        <w:numPr>
          <w:ilvl w:val="0"/>
          <w:numId w:val="1004"/>
        </w:numPr>
        <w:pStyle w:val="Compact"/>
      </w:pPr>
      <w:r>
        <w:rPr>
          <w:iCs/>
          <w:i/>
        </w:rPr>
        <w:t xml:space="preserve">World Health Organization. Urbanization and Health: Challenges for Nairobi’s Public Health System.</w:t>
      </w:r>
    </w:p>
    <w:p>
      <w:r>
        <w:pict>
          <v:rect style="width:0;height:1.5pt" o:hralign="center" o:hrstd="t" o:hr="t"/>
        </w:pict>
      </w:r>
    </w:p>
    <w:p>
      <w:pPr>
        <w:pStyle w:val="FirstParagraph"/>
      </w:pPr>
      <w:r>
        <w:t xml:space="preserve">©</w:t>
      </w:r>
      <w:r>
        <w:t xml:space="preserve"> </w:t>
      </w:r>
      <w:r>
        <w:t xml:space="preserve">2023</w:t>
      </w:r>
      <w:r>
        <w:t xml:space="preserve"> </w:t>
      </w:r>
      <w:r>
        <w:t xml:space="preserve">Medical Research Group Nairobi.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Kenya Nairobi</dc:title>
  <dc:creator/>
  <dc:language>en</dc:language>
  <cp:keywords/>
  <dcterms:created xsi:type="dcterms:W3CDTF">2026-07-29T20:35:54Z</dcterms:created>
  <dcterms:modified xsi:type="dcterms:W3CDTF">2026-07-29T20:35:54Z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