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p>
    <w:bookmarkStart w:id="20" w:name="X1c07a5d2fc77c15209b6f79a7f1a5ed2f1799f4"/>
    <w:p>
      <w:pPr>
        <w:pStyle w:val="Heading1"/>
      </w:pPr>
      <w:r>
        <w:t xml:space="preserve">Bridging Traditional Knowledge and Modern Innovation: The Evolving Role of the Medical Researcher in Kuwait City</w:t>
      </w:r>
    </w:p>
    <w:bookmarkEnd w:id="20"/>
    <w:p>
      <w:pPr>
        <w:pStyle w:val="FirstParagraph"/>
      </w:pPr>
      <w:r>
        <w:br/>
      </w:r>
    </w:p>
    <w:p>
      <w:pPr>
        <w:pStyle w:val="BodyText"/>
      </w:pPr>
      <w:r>
        <w:t xml:space="preserve">The rapid acceleration of global healthcare science has placed unprecedented demands on local medical communities to adapt, innovate, and lead. In this context, the role of a</w:t>
      </w:r>
      <w:r>
        <w:t xml:space="preserve"> </w:t>
      </w:r>
      <w:r>
        <w:rPr>
          <w:bCs/>
          <w:b/>
        </w:rPr>
        <w:t xml:space="preserve">Medical Researcher</w:t>
      </w:r>
      <w:r>
        <w:t xml:space="preserve"> </w:t>
      </w:r>
      <w:r>
        <w:t xml:space="preserve">transcends traditional laboratory boundaries; it becomes a pivotal force in shaping public health policy and improving clinical outcomes. This document outlines the critical importance of integrating rigorous academic inquiry with practical healthcare delivery within the unique socio-economic and cultural landscape of</w:t>
      </w:r>
      <w:r>
        <w:t xml:space="preserve"> </w:t>
      </w:r>
      <w:r>
        <w:rPr>
          <w:bCs/>
          <w:b/>
        </w:rPr>
        <w:t xml:space="preserve">Kuwait Kuwait City</w:t>
      </w:r>
      <w:r>
        <w:t xml:space="preserve">. As a burgeoning hub for biomedical advancement in the Arabian Gulf, this region presents a fertile ground for high-impact medical discoveries that address both local endemic diseases and global health challenges.</w:t>
      </w:r>
    </w:p>
    <w:bookmarkStart w:id="21" w:name="X754479b92cd875523b39197bf95746c624404cb"/>
    <w:p>
      <w:pPr>
        <w:pStyle w:val="Heading2"/>
      </w:pPr>
      <w:r>
        <w:t xml:space="preserve">The Strategic Imperative of Academic Medical Research</w:t>
      </w:r>
    </w:p>
    <w:p>
      <w:pPr>
        <w:pStyle w:val="FirstParagraph"/>
      </w:pPr>
      <w:r>
        <w:br/>
      </w:r>
    </w:p>
    <w:p>
      <w:pPr>
        <w:pStyle w:val="BodyText"/>
      </w:pPr>
      <w:r>
        <w:t xml:space="preserve">At the core of modern medicine lies the principle that evidence-based practice must guide clinical decision-making. For any dedicated</w:t>
      </w:r>
      <w:r>
        <w:t xml:space="preserve"> </w:t>
      </w:r>
      <w:r>
        <w:rPr>
          <w:bCs/>
          <w:b/>
        </w:rPr>
        <w:t xml:space="preserve">Medical Researcher</w:t>
      </w:r>
      <w:r>
        <w:t xml:space="preserve">, this translates to an unwavering commitment to scientific rigor, reproducibility, and ethical integrity. However, conducting meaningful research requires more than just technical expertise; it demands a strategic vision aligned with national health priorities. In developing nations like Kuwait, where the transition from communicable diseases to non-communicable lifestyle disorders is accelerating, researchers play an essential role in identifying specific risk factors within the local population.</w:t>
      </w:r>
    </w:p>
    <w:p>
      <w:pPr>
        <w:pStyle w:val="BodyText"/>
      </w:pPr>
      <w:r>
        <w:t xml:space="preserve">The scope of modern medical investigation extends far beyond basic biological sciences. Today’s</w:t>
      </w:r>
      <w:r>
        <w:t xml:space="preserve"> </w:t>
      </w:r>
      <w:r>
        <w:rPr>
          <w:bCs/>
          <w:b/>
        </w:rPr>
        <w:t xml:space="preserve">Medical Researcher</w:t>
      </w:r>
      <w:r>
        <w:t xml:space="preserve"> </w:t>
      </w:r>
      <w:r>
        <w:t xml:space="preserve">often operates at the intersection of genomics, artificial intelligence, epidemiology, and public health policy. Understanding how genetic predispositions interact with environmental triggers is particularly relevant in Middle Eastern populations, where distinct genetic lineages may exhibit different responses to certain pharmacological treatments. Consequently, localized studies are not merely supplementary; they are foundational to developing precision medicine strategies that respect individual patient differences.</w:t>
      </w:r>
    </w:p>
    <w:bookmarkEnd w:id="21"/>
    <w:bookmarkStart w:id="22" w:name="the-unique-context-of-kuwait-city"/>
    <w:p>
      <w:pPr>
        <w:pStyle w:val="Heading2"/>
      </w:pPr>
      <w:r>
        <w:t xml:space="preserve">The Unique Context of Kuwait City</w:t>
      </w:r>
    </w:p>
    <w:p>
      <w:pPr>
        <w:pStyle w:val="FirstParagraph"/>
      </w:pPr>
      <w:r>
        <w:br/>
      </w:r>
    </w:p>
    <w:p>
      <w:pPr>
        <w:pStyle w:val="BodyText"/>
      </w:pPr>
      <w:r>
        <w:t xml:space="preserve">When analyzing the landscape for medical advancement, it is impossible to overlook the specific dynamics present in</w:t>
      </w:r>
      <w:r>
        <w:t xml:space="preserve"> </w:t>
      </w:r>
      <w:r>
        <w:rPr>
          <w:bCs/>
          <w:b/>
        </w:rPr>
        <w:t xml:space="preserve">Kuwait Kuwait City</w:t>
      </w:r>
      <w:r>
        <w:t xml:space="preserve">. As the capital and largest urban center of the country, this city serves as a demographic microcosm of both traditional Arabian heritage and hyper-modern cosmopolitan life. The healthcare ecosystem here is characterized by a blend of advanced private facilities and robust public institutions underpinned by significant government investment in health infrastructure.</w:t>
      </w:r>
    </w:p>
    <w:p>
      <w:pPr>
        <w:pStyle w:val="BodyText"/>
      </w:pPr>
      <w:r>
        <w:t xml:space="preserve">The significance of</w:t>
      </w:r>
      <w:r>
        <w:t xml:space="preserve"> </w:t>
      </w:r>
      <w:r>
        <w:rPr>
          <w:bCs/>
          <w:b/>
        </w:rPr>
        <w:t xml:space="preserve">Kuwait Kuwait City</w:t>
      </w:r>
      <w:r>
        <w:t xml:space="preserve"> </w:t>
      </w:r>
      <w:r>
        <w:t xml:space="preserve">as a research hub lies in its diverse population. Researchers working here have access to a rich tapestry of genetic data, lifestyle patterns, and environmental exposures that differ markedly from Western cohorts. For instance, studies focusing on diabetes prevalence, cardiovascular health among young adults, and the impact of extreme heat on chronic disease management are highly pertinent to this specific geographic location. By tailoring research questions to the realities faced by residents in</w:t>
      </w:r>
      <w:r>
        <w:t xml:space="preserve"> </w:t>
      </w:r>
      <w:r>
        <w:rPr>
          <w:bCs/>
          <w:b/>
        </w:rPr>
        <w:t xml:space="preserve">Kuwait Kuwait City</w:t>
      </w:r>
      <w:r>
        <w:t xml:space="preserve">, scientists ensure that their findings translate directly into actionable public health interventions.</w:t>
      </w:r>
    </w:p>
    <w:bookmarkEnd w:id="22"/>
    <w:bookmarkStart w:id="23" w:name="X2361e5458026a95991a454ed74ce851d4cbdc80"/>
    <w:p>
      <w:pPr>
        <w:pStyle w:val="Heading2"/>
      </w:pPr>
      <w:r>
        <w:t xml:space="preserve">Bridging Theory and Practice Through Collaboration</w:t>
      </w:r>
    </w:p>
    <w:p>
      <w:pPr>
        <w:pStyle w:val="FirstParagraph"/>
      </w:pPr>
      <w:r>
        <w:br/>
      </w:r>
    </w:p>
    <w:p>
      <w:pPr>
        <w:pStyle w:val="BodyText"/>
      </w:pPr>
      <w:r>
        <w:t xml:space="preserve">A defining characteristic of successful medical science is interdisciplinary collaboration. The modern</w:t>
      </w:r>
      <w:r>
        <w:t xml:space="preserve"> </w:t>
      </w:r>
      <w:r>
        <w:rPr>
          <w:bCs/>
          <w:b/>
        </w:rPr>
        <w:t xml:space="preserve">Medical Researcher</w:t>
      </w:r>
      <w:r>
        <w:t xml:space="preserve"> </w:t>
      </w:r>
      <w:r>
        <w:t xml:space="preserve">cannot work in isolation; they must engage with clinicians, data scientists, ethicists, and policymakers. In the context of an academic institution or a hospital-based research center within</w:t>
      </w:r>
      <w:r>
        <w:t xml:space="preserve"> </w:t>
      </w:r>
      <w:r>
        <w:rPr>
          <w:bCs/>
          <w:b/>
        </w:rPr>
        <w:t xml:space="preserve">Kuwait Kuwait City</w:t>
      </w:r>
      <w:r>
        <w:t xml:space="preserve">, fostering these partnerships is crucial for translating bench-side discoveries into bedside applications.</w:t>
      </w:r>
    </w:p>
    <w:p>
      <w:pPr>
        <w:pStyle w:val="BodyText"/>
      </w:pPr>
      <w:r>
        <w:t xml:space="preserve">The establishment of collaborative frameworks encourages knowledge exchange that benefits all stakeholders. Clinicians provide real-world insights into unmet medical needs, while researchers bring methodological expertise and analytical tools to solve complex health problems. Furthermore, engaging with community leaders and public health officials ensures that research initiatives are culturally sensitive and aligned with societal values—a critical factor in ensuring participant recruitment, retention, and the successful implementation of findings.</w:t>
      </w:r>
    </w:p>
    <w:bookmarkEnd w:id="23"/>
    <w:bookmarkStart w:id="24" w:name="navigating-ethical-considerations"/>
    <w:p>
      <w:pPr>
        <w:pStyle w:val="Heading2"/>
      </w:pPr>
      <w:r>
        <w:t xml:space="preserve">Navigating Ethical Considerations</w:t>
      </w:r>
    </w:p>
    <w:p>
      <w:pPr>
        <w:pStyle w:val="FirstParagraph"/>
      </w:pPr>
      <w:r>
        <w:br/>
      </w:r>
    </w:p>
    <w:p>
      <w:pPr>
        <w:pStyle w:val="BodyText"/>
      </w:pPr>
      <w:r>
        <w:t xml:space="preserve">Ethics form the bedrock of all scientific inquiry. The</w:t>
      </w:r>
      <w:r>
        <w:t xml:space="preserve"> </w:t>
      </w:r>
      <w:r>
        <w:rPr>
          <w:bCs/>
          <w:b/>
        </w:rPr>
        <w:t xml:space="preserve">Medical Researcher</w:t>
      </w:r>
      <w:r>
        <w:t xml:space="preserve"> </w:t>
      </w:r>
      <w:r>
        <w:t xml:space="preserve">must adhere to strict protocols regarding informed consent, data privacy, and participant safety. In an increasingly digital world where large datasets are utilized for artificial intelligence modeling, protecting patient anonymity becomes even more challenging yet more important than ever. Academic bodies in</w:t>
      </w:r>
      <w:r>
        <w:t xml:space="preserve"> </w:t>
      </w:r>
      <w:r>
        <w:rPr>
          <w:bCs/>
          <w:b/>
        </w:rPr>
        <w:t xml:space="preserve">Kuwait Kuwait City</w:t>
      </w:r>
      <w:r>
        <w:t xml:space="preserve">, much like international counterparts, demand rigorous oversight through Institutional Review Boards (IRBs) to guarantee that human subjects are treated with dignity and respect throughout every phase of a study.</w:t>
      </w:r>
    </w:p>
    <w:p>
      <w:pPr>
        <w:pStyle w:val="BodyText"/>
      </w:pPr>
      <w:r>
        <w:t xml:space="preserve">Moreover, ethical research extends to the equitable distribution of the benefits derived from scientific breakthroughs. Ensuring that discoveries made in affluent settings also benefit underserved populations is a moral obligation for all researchers. Promoting inclusive participation in clinical trials guarantees that medical advancements are universally applicable and not limited to specific demographic groups.</w:t>
      </w:r>
    </w:p>
    <w:bookmarkEnd w:id="24"/>
    <w:bookmarkStart w:id="25" w:name="X11c19b112387849796b96206df7da98e5574977"/>
    <w:p>
      <w:pPr>
        <w:pStyle w:val="Heading2"/>
      </w:pPr>
      <w:r>
        <w:t xml:space="preserve">Fostering Innovation and Future Directions</w:t>
      </w:r>
    </w:p>
    <w:p>
      <w:pPr>
        <w:pStyle w:val="FirstParagraph"/>
      </w:pPr>
      <w:r>
        <w:br/>
      </w:r>
    </w:p>
    <w:p>
      <w:pPr>
        <w:pStyle w:val="BodyText"/>
      </w:pPr>
      <w:r>
        <w:t xml:space="preserve">The future of medicine relies heavily on nurturing the next generation of</w:t>
      </w:r>
      <w:r>
        <w:t xml:space="preserve"> </w:t>
      </w:r>
      <w:r>
        <w:rPr>
          <w:bCs/>
          <w:b/>
        </w:rPr>
        <w:t xml:space="preserve">Medical Researcher</w:t>
      </w:r>
      <w:r>
        <w:t xml:space="preserve">s. Educational programs must emphasize critical thinking, adaptability, and technological proficiency. Universities and research institutes in</w:t>
      </w:r>
      <w:r>
        <w:t xml:space="preserve"> </w:t>
      </w:r>
      <w:r>
        <w:rPr>
          <w:bCs/>
          <w:b/>
        </w:rPr>
        <w:t xml:space="preserve">Kuwait Kuwait City</w:t>
      </w:r>
      <w:r>
        <w:t xml:space="preserve"> </w:t>
      </w:r>
      <w:r>
        <w:t xml:space="preserve">have a responsibility to create environments where curiosity is encouraged and failure is viewed as a step toward discovery.</w:t>
      </w:r>
    </w:p>
    <w:p>
      <w:pPr>
        <w:pStyle w:val="BodyText"/>
      </w:pPr>
      <w:r>
        <w:t xml:space="preserve">Innovation thrives when traditional methods meet cutting-edge technology. Integrating blockchain for secure health records, utilizing machine learning for predictive diagnostics, and exploring gene-editing technologies represent just some of the frontiers awaiting exploration by today's academics. By investing in state-of-the-art laboratories and providing generous grants for exploratory projects, societies can empower their</w:t>
      </w:r>
      <w:r>
        <w:t xml:space="preserve"> </w:t>
      </w:r>
      <w:r>
        <w:rPr>
          <w:bCs/>
          <w:b/>
        </w:rPr>
        <w:t xml:space="preserve">Medical Researcher</w:t>
      </w:r>
      <w:r>
        <w:t xml:space="preserve">s to tackle ambitious questions that could redefine global health standards.</w:t>
      </w:r>
    </w:p>
    <w:bookmarkEnd w:id="25"/>
    <w:bookmarkStart w:id="26" w:name="conclusion"/>
    <w:p>
      <w:pPr>
        <w:pStyle w:val="Heading2"/>
      </w:pPr>
      <w:r>
        <w:t xml:space="preserve">Conclusion</w:t>
      </w:r>
    </w:p>
    <w:p>
      <w:pPr>
        <w:pStyle w:val="FirstParagraph"/>
      </w:pPr>
      <w:r>
        <w:br/>
      </w:r>
    </w:p>
    <w:p>
      <w:pPr>
        <w:pStyle w:val="BodyText"/>
      </w:pPr>
      <w:r>
        <w:t xml:space="preserve">In summary, the journey of a</w:t>
      </w:r>
      <w:r>
        <w:t xml:space="preserve"> </w:t>
      </w:r>
      <w:r>
        <w:rPr>
          <w:bCs/>
          <w:b/>
        </w:rPr>
        <w:t xml:space="preserve">Medical Researcher</w:t>
      </w:r>
      <w:r>
        <w:t xml:space="preserve"> </w:t>
      </w:r>
      <w:r>
        <w:t xml:space="preserve">is one of continuous learning, rigorous analysis, and profound dedication to improving human health. Within the dynamic environment of</w:t>
      </w:r>
      <w:r>
        <w:t xml:space="preserve"> </w:t>
      </w:r>
      <w:r>
        <w:rPr>
          <w:bCs/>
          <w:b/>
        </w:rPr>
        <w:t xml:space="preserve">Kuwait Kuwait City</w:t>
      </w:r>
      <w:r>
        <w:t xml:space="preserve">, this role takes on added significance due to its unique demographic composition and strategic geographic location. By aligning scientific inquiry with local needs, fostering interdisciplinary collaboration, upholding strict ethical standards, and embracing technological innovation, the medical community can drive substantial progress in healthcare delivery.</w:t>
      </w:r>
    </w:p>
    <w:p>
      <w:pPr>
        <w:pStyle w:val="BodyText"/>
      </w:pPr>
      <w:r>
        <w:t xml:space="preserve">This document underscores that impactful science does not happen in a vacuum; it is deeply rooted in the communities it serves. As we look toward the future, let us commit ourselves to advancing knowledge through rigorous scholarship and compassionate care. Let this serve as a call to action for all</w:t>
      </w:r>
      <w:r>
        <w:t xml:space="preserve"> </w:t>
      </w:r>
      <w:r>
        <w:rPr>
          <w:bCs/>
          <w:b/>
        </w:rPr>
        <w:t xml:space="preserve">Medical Researcher</w:t>
      </w:r>
      <w:r>
        <w:t xml:space="preserve">s operating within or studying</w:t>
      </w:r>
      <w:r>
        <w:t xml:space="preserve"> </w:t>
      </w:r>
      <w:r>
        <w:rPr>
          <w:bCs/>
          <w:b/>
        </w:rPr>
        <w:t xml:space="preserve">Kuwait Kuwait City</w:t>
      </w:r>
      <w:r>
        <w:t xml:space="preserve">—to lead with integrity, innovate boldly, and collaborate widely in our shared pursuit of a healthier world.</w:t>
      </w:r>
    </w:p>
    <w:p>
      <w:pPr>
        <w:pStyle w:val="BodyText"/>
      </w:pPr>
      <w:r>
        <w:br/>
      </w:r>
    </w:p>
    <w:p>
      <w:pPr>
        <w:pStyle w:val="BodyText"/>
      </w:pPr>
      <w:r>
        <w:t xml:space="preserve">© 2023 Academic Medical Journal. All Rights Reserved. Prepared for distribution in</w:t>
      </w:r>
      <w:r>
        <w:t xml:space="preserve"> </w:t>
      </w:r>
      <w:r>
        <w:rPr>
          <w:bCs/>
          <w:b/>
        </w:rPr>
        <w:t xml:space="preserve">Kuwait Kuwait City</w:t>
      </w:r>
      <w:r>
        <w:t xml:space="preserve">. Designed to support the mission of advancing medical science through dedicated research initiatives.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Kuwait City</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