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ba0264ce992778c1d1341b3dcb0cfae4e2c3f1f"/>
    <w:p>
      <w:pPr>
        <w:pStyle w:val="Heading1"/>
      </w:pPr>
      <w:r>
        <w:t xml:space="preserve">Bridging Tradition and Innovation: Advancing Medical Research in Saudi Arabia Riyadh</w:t>
      </w:r>
    </w:p>
    <w:p>
      <w:pPr>
        <w:pStyle w:val="FirstParagraph"/>
      </w:pPr>
      <w:r>
        <w:rPr>
          <w:bCs/>
          <w:b/>
        </w:rPr>
        <w:t xml:space="preserve">Presentation Title:</w:t>
      </w:r>
      <w:r>
        <w:t xml:space="preserve"> </w:t>
      </w:r>
      <w:r>
        <w:t xml:space="preserve">Strategic Integration of Genomic Medicine and Public Health Initiatives in the Kingdom's Capital</w:t>
      </w:r>
    </w:p>
    <w:p>
      <w:pPr>
        <w:pStyle w:val="BodyText"/>
      </w:pPr>
      <w:r>
        <w:rPr>
          <w:bCs/>
          <w:b/>
        </w:rPr>
        <w:t xml:space="preserve">Affiliation:</w:t>
      </w:r>
      <w:r>
        <w:t xml:space="preserve"> </w:t>
      </w:r>
      <w:r>
        <w:t xml:space="preserve">Department of Advanced Medical Sciences, Riyadh Research Institute</w:t>
      </w:r>
    </w:p>
    <w:p>
      <w:pPr>
        <w:pStyle w:val="BodyText"/>
      </w:pPr>
      <w:r>
        <w:rPr>
          <w:bCs/>
          <w:b/>
        </w:rPr>
        <w:t xml:space="preserve">Contact Email:</w:t>
      </w:r>
      <w:r>
        <w:t xml:space="preserve"> </w:t>
      </w:r>
      <w:r>
        <w:t xml:space="preserve">research.lead@riyadh-medical-ksa.edu.sa</w:t>
      </w:r>
    </w:p>
    <w:bookmarkEnd w:id="20"/>
    <w:bookmarkStart w:id="21" w:name="abstract"/>
    <w:p>
      <w:pPr>
        <w:pStyle w:val="Heading2"/>
      </w:pPr>
      <w:r>
        <w:t xml:space="preserve">Abstract</w:t>
      </w:r>
    </w:p>
    <w:p>
      <w:pPr>
        <w:pStyle w:val="FirstParagraph"/>
      </w:pPr>
      <w:r>
        <w:t xml:space="preserve">This document serves as a comprehensive text representation of a medical researcher's poster presentation, specifically tailored for the academic and clinical community in Saudi Arabia Riyadh. As the Kingdom accelerates its Vision 2030 healthcare transformation goals, the role of evidence-based medicine has never been more critical. This presentation outlines recent findings from local epidemiological studies conducted within Riyadh's bustling urban environment, focusing on non-communicable diseases (NCDs), genetic predispositions specific to the Arabian Peninsula population, and digital health interventions. By analyzing data collected across major hospitals in Saudi Arabia Riyadh, this research highlights unique healthcare challenges and proposes innovative solutions that align with national health strategies.</w:t>
      </w:r>
    </w:p>
    <w:bookmarkEnd w:id="21"/>
    <w:bookmarkStart w:id="22" w:name="introduction"/>
    <w:p>
      <w:pPr>
        <w:pStyle w:val="Heading2"/>
      </w:pPr>
      <w:r>
        <w:t xml:space="preserve">Introduction</w:t>
      </w:r>
    </w:p>
    <w:p>
      <w:pPr>
        <w:pStyle w:val="FirstParagraph"/>
      </w:pPr>
      <w:r>
        <w:rPr>
          <w:bCs/>
          <w:b/>
        </w:rPr>
        <w:t xml:space="preserve">The Context of Saudi Arabia Riyadh:</w:t>
      </w:r>
      <w:r>
        <w:t xml:space="preserve"> </w:t>
      </w:r>
      <w:r>
        <w:t xml:space="preserve">Saudi Arabia Riyadh stands as a dynamic metropolis, serving as the political and economic heart of the Kingdom. However, rapid urbanization has introduced significant public health challenges. The lifestyle shifts associated with modern living in Riyadh have contributed to rising rates of obesity, type 2 diabetes, and cardiovascular diseases among both citizens and expatriate residents. Consequently, there is an urgent need for localized medical research that addresses these specific demographic realities rather than relying solely on Western or global data sets.</w:t>
      </w:r>
    </w:p>
    <w:p>
      <w:pPr>
        <w:pStyle w:val="BodyText"/>
      </w:pPr>
      <w:r>
        <w:rPr>
          <w:bCs/>
          <w:b/>
        </w:rPr>
        <w:t xml:space="preserve">Role of the Medical Researcher:</w:t>
      </w:r>
      <w:r>
        <w:t xml:space="preserve"> </w:t>
      </w:r>
      <w:r>
        <w:t xml:space="preserve">In this evolving landscape, the modern medical researcher acts as a bridge between traditional clinical practices and cutting-edge technological advancements. A medical researcher working in Saudi Arabia Riyadh must navigate complex cultural contexts, ensure ethical compliance with local regulations, and collaborate with multidisciplinary teams to foster innovation. This poster presentation aims to showcase how rigorous scientific inquiry can directly impact policy formulation and patient care outcomes within the region.</w:t>
      </w:r>
    </w:p>
    <w:bookmarkEnd w:id="22"/>
    <w:bookmarkStart w:id="23" w:name="methodology"/>
    <w:p>
      <w:pPr>
        <w:pStyle w:val="Heading2"/>
      </w:pPr>
      <w:r>
        <w:t xml:space="preserve">Methodology</w:t>
      </w:r>
    </w:p>
    <w:p>
      <w:pPr>
        <w:pStyle w:val="FirstParagraph"/>
      </w:pPr>
      <w:r>
        <w:t xml:space="preserve">To ensure robustness and relevance to our local population, this study employed a mixed-methods approach, combining quantitative clinical data analysis with qualitative patient surveys. The research was conducted over a thirty-six-month period across three major tertiary care hospitals in Saudi Arabia Riyadh.</w:t>
      </w:r>
    </w:p>
    <w:p>
      <w:pPr>
        <w:numPr>
          <w:ilvl w:val="0"/>
          <w:numId w:val="1001"/>
        </w:numPr>
        <w:pStyle w:val="Compact"/>
      </w:pPr>
      <w:r>
        <w:rPr>
          <w:bCs/>
          <w:b/>
        </w:rPr>
        <w:t xml:space="preserve">Data Collection:</w:t>
      </w:r>
      <w:r>
        <w:t xml:space="preserve"> </w:t>
      </w:r>
      <w:r>
        <w:t xml:space="preserve">Retrospective analysis of electronic health records (EHR) from over 15,000 patients presenting with chronic metabolic conditions. Special attention was given to genetic markers prevalent in the Saudi population.</w:t>
      </w:r>
    </w:p>
    <w:p>
      <w:pPr>
        <w:numPr>
          <w:ilvl w:val="0"/>
          <w:numId w:val="1001"/>
        </w:numPr>
      </w:pPr>
      <w:r>
        <w:t xml:space="preserve">Sampling Strategy:</w:t>
      </w:r>
    </w:p>
    <w:p>
      <w:pPr>
        <w:numPr>
          <w:ilvl w:val="0"/>
          <w:numId w:val="1000"/>
        </w:numPr>
      </w:pPr>
      <w:r>
        <w:t xml:space="preserve">We utilized stratified random sampling to ensure representation across age groups, genders, and nationalities residing in Riyadh. This diversity is crucial for understanding the heterogeneous nature of healthcare needs in the capital city.</w:t>
      </w:r>
    </w:p>
    <w:p>
      <w:pPr>
        <w:numPr>
          <w:ilvl w:val="0"/>
          <w:numId w:val="1001"/>
        </w:numPr>
      </w:pPr>
      <w:r>
        <w:rPr>
          <w:bCs/>
          <w:b/>
        </w:rPr>
        <w:t xml:space="preserve">Ethical Considerations:</w:t>
      </w:r>
    </w:p>
    <w:p>
      <w:pPr>
        <w:numPr>
          <w:ilvl w:val="0"/>
          <w:numId w:val="1000"/>
        </w:numPr>
      </w:pPr>
      <w:r>
        <w:t xml:space="preserve">All protocols were reviewed and approved by the local Institutional Review Board (IRB) in accordance with national health research guidelines. Informed consent was obtained from all participants, respecting cultural norms regarding privacy and data usage.</w:t>
      </w:r>
    </w:p>
    <w:p>
      <w:pPr>
        <w:pStyle w:val="FirstParagraph"/>
      </w:pPr>
      <w:r>
        <w:rPr>
          <w:bCs/>
          <w:b/>
        </w:rPr>
        <w:t xml:space="preserve">Key Innovation:</w:t>
      </w:r>
      <w:r>
        <w:t xml:space="preserve"> </w:t>
      </w:r>
      <w:r>
        <w:t xml:space="preserve">Integration of Artificial Intelligence (AI) algorithms to predict patient risk profiles based on historical data from Saudi Arabia Riyadh hospitals, enhancing early intervention capabilities.</w:t>
      </w:r>
    </w:p>
    <w:bookmarkEnd w:id="23"/>
    <w:bookmarkStart w:id="24" w:name="results"/>
    <w:p>
      <w:pPr>
        <w:pStyle w:val="Heading2"/>
      </w:pPr>
      <w:r>
        <w:t xml:space="preserve">Results</w:t>
      </w:r>
    </w:p>
    <w:p>
      <w:pPr>
        <w:pStyle w:val="FirstParagraph"/>
      </w:pPr>
      <w:r>
        <w:t xml:space="preserve">The analysis yielded several significant findings that underscore the importance of localized medical research:</w:t>
      </w:r>
    </w:p>
    <w:p>
      <w:pPr>
        <w:numPr>
          <w:ilvl w:val="0"/>
          <w:numId w:val="1002"/>
        </w:numPr>
      </w:pPr>
      <w:r>
        <w:rPr>
          <w:bCs/>
          <w:b/>
        </w:rPr>
        <w:t xml:space="preserve">Epidemiological Shifts:</w:t>
      </w:r>
    </w:p>
    <w:p>
      <w:pPr>
        <w:numPr>
          <w:ilvl w:val="0"/>
          <w:numId w:val="1000"/>
        </w:numPr>
      </w:pPr>
      <w:r>
        <w:t xml:space="preserve">Data indicates a 15% increase in early-onset metabolic syndrome among adolescents in Riyadh compared to data from five years prior. This trend correlates strongly with sedentary lifestyles and dietary changes.</w:t>
      </w:r>
    </w:p>
    <w:p>
      <w:pPr>
        <w:numPr>
          <w:ilvl w:val="0"/>
          <w:numId w:val="1002"/>
        </w:numPr>
      </w:pPr>
      <w:r>
        <w:rPr>
          <w:bCs/>
          <w:b/>
        </w:rPr>
        <w:t xml:space="preserve">Genetic Insights:</w:t>
      </w:r>
    </w:p>
    <w:p>
      <w:pPr>
        <w:numPr>
          <w:ilvl w:val="0"/>
          <w:numId w:val="1000"/>
        </w:numPr>
      </w:pPr>
      <w:r>
        <w:t xml:space="preserve">A novel genetic variant associated with reduced response to standard antihypertensive medications was identified in 8% of the cohort. This finding necessitates a shift towards personalized medicine approaches tailored to the Saudi Arabian genomic profile.</w:t>
      </w:r>
    </w:p>
    <w:p>
      <w:pPr>
        <w:numPr>
          <w:ilvl w:val="0"/>
          <w:numId w:val="1002"/>
        </w:numPr>
      </w:pPr>
      <w:r>
        <w:rPr>
          <w:bCs/>
          <w:b/>
        </w:rPr>
        <w:t xml:space="preserve">Digital Health Adoption:</w:t>
      </w:r>
    </w:p>
    <w:p>
      <w:pPr>
        <w:numPr>
          <w:ilvl w:val="0"/>
          <w:numId w:val="1000"/>
        </w:numPr>
      </w:pPr>
      <w:r>
        <w:t xml:space="preserve">Patients engaged with telemedicine platforms showed a 20% higher adherence rate to treatment plans. This suggests that integrating digital tools into the standard care pathway in Saudi Arabia Riyadh can significantly improve public health outcomes.</w:t>
      </w:r>
    </w:p>
    <w:bookmarkEnd w:id="24"/>
    <w:bookmarkStart w:id="25" w:name="discussion"/>
    <w:p>
      <w:pPr>
        <w:pStyle w:val="Heading2"/>
      </w:pPr>
      <w:r>
        <w:t xml:space="preserve">Discussion</w:t>
      </w:r>
    </w:p>
    <w:p>
      <w:pPr>
        <w:pStyle w:val="FirstParagraph"/>
      </w:pPr>
      <w:r>
        <w:t xml:space="preserve">The implications of these findings extend beyond individual clinical care; they resonate deeply with the overarching objectives of Saudi Vision 2030. By focusing on preventive medicine and leveraging technology, healthcare providers in Riyadh can reduce the burden on hospital systems and improve quality of life for residents.</w:t>
      </w:r>
    </w:p>
    <w:p>
      <w:pPr>
        <w:pStyle w:val="BodyText"/>
      </w:pPr>
      <w:r>
        <w:rPr>
          <w:bCs/>
          <w:b/>
        </w:rPr>
        <w:t xml:space="preserve">Challenges Faced by Researchers:</w:t>
      </w:r>
    </w:p>
    <w:p>
      <w:pPr>
        <w:numPr>
          <w:ilvl w:val="0"/>
          <w:numId w:val="1003"/>
        </w:numPr>
        <w:pStyle w:val="Compact"/>
      </w:pPr>
      <w:r>
        <w:t xml:space="preserve">Data fragmentation across different healthcare entities in Riyadh.</w:t>
      </w:r>
    </w:p>
    <w:p>
      <w:pPr>
        <w:numPr>
          <w:ilvl w:val="0"/>
          <w:numId w:val="1003"/>
        </w:numPr>
        <w:pStyle w:val="Compact"/>
      </w:pPr>
      <w:r>
        <w:t xml:space="preserve">The need for continuous training of medical researchers in emerging technologies such as bioinformatics and AI.</w:t>
      </w:r>
    </w:p>
    <w:p>
      <w:pPr>
        <w:numPr>
          <w:ilvl w:val="0"/>
          <w:numId w:val="1003"/>
        </w:numPr>
        <w:pStyle w:val="Compact"/>
      </w:pPr>
      <w:r>
        <w:t xml:space="preserve">Cultural barriers to patient participation in long-term longitudinal studies.</w:t>
      </w:r>
    </w:p>
    <w:p>
      <w:pPr>
        <w:pStyle w:val="FirstParagraph"/>
      </w:pPr>
      <w:r>
        <w:rPr>
          <w:bCs/>
          <w:b/>
        </w:rPr>
        <w:t xml:space="preserve">The Role of Collaboration:</w:t>
      </w:r>
    </w:p>
    <w:p>
      <w:pPr>
        <w:pStyle w:val="BodyText"/>
      </w:pPr>
      <w:r>
        <w:t xml:space="preserve">Solving these complex health issues requires unprecedented collaboration between government agencies, private healthcare providers, and academic institutions. A medical researcher cannot work in isolation; they must be part of an ecosystem that supports innovation and knowledge dissemination. Initiatives like the Saudi Data and AI Authority (SDAIA) provide a fertile ground for such collaborations within Saudi Arabia Riyadh.</w:t>
      </w:r>
    </w:p>
    <w:bookmarkEnd w:id="25"/>
    <w:bookmarkStart w:id="26" w:name="conclusion"/>
    <w:p>
      <w:pPr>
        <w:pStyle w:val="Heading2"/>
      </w:pPr>
      <w:r>
        <w:t xml:space="preserve">Conclusion</w:t>
      </w:r>
    </w:p>
    <w:p>
      <w:pPr>
        <w:pStyle w:val="FirstParagraph"/>
      </w:pPr>
      <w:r>
        <w:t xml:space="preserve">In conclusion, this poster presentation highlights the critical role of localized medical research in addressing the unique health challenges of Saudi Arabia Riyadh. The findings advocate for a holistic approach that combines genomic precision, digital innovation, and community engagement.</w:t>
      </w:r>
    </w:p>
    <w:p>
      <w:pPr>
        <w:pStyle w:val="BodyText"/>
      </w:pPr>
      <w:r>
        <w:t xml:space="preserve">The commitment to advancing healthcare in Riyadh is not just about treating diseases; it is about empowering a healthier future for generations to come. Medical researchers play a pivotal role in this journey by generating evidence that drives policy and practice. We call upon fellow academics, clinicians, and policymakers to support ongoing research initiatives that prioritize the well-being of our community.</w:t>
      </w:r>
    </w:p>
    <w:p>
      <w:pPr>
        <w:pStyle w:val="BodyText"/>
      </w:pPr>
      <w:r>
        <w:rPr>
          <w:bCs/>
          <w:b/>
        </w:rPr>
        <w:t xml:space="preserve">Future Directions:</w:t>
      </w:r>
      <w:r>
        <w:t xml:space="preserve"> </w:t>
      </w:r>
      <w:r>
        <w:t xml:space="preserve">Upcoming projects will focus on expanding the study to include rural populations outside Riyadh to ensure equitable healthcare development across the entire Kingdom.</w:t>
      </w:r>
    </w:p>
    <w:bookmarkEnd w:id="26"/>
    <w:bookmarkStart w:id="27" w:name="acknowledgements-references"/>
    <w:p>
      <w:pPr>
        <w:pStyle w:val="Heading2"/>
      </w:pPr>
      <w:r>
        <w:t xml:space="preserve">Acknowledgements &amp; References</w:t>
      </w:r>
    </w:p>
    <w:p>
      <w:pPr>
        <w:pStyle w:val="FirstParagraph"/>
      </w:pPr>
      <w:r>
        <w:rPr>
          <w:bCs/>
          <w:b/>
        </w:rPr>
        <w:t xml:space="preserve">Acknowledgements:</w:t>
      </w:r>
    </w:p>
    <w:p>
      <w:pPr>
        <w:pStyle w:val="BodyText"/>
      </w:pPr>
      <w:r>
        <w:t xml:space="preserve">We extend our gratitude to the Ministry of Health of Saudi Arabia, the Riyadh Health Cluster, and all participating patients who contributed their time and data. Special thanks go to the research assistants whose dedication made this work possible.</w:t>
      </w:r>
    </w:p>
    <w:p>
      <w:pPr>
        <w:pStyle w:val="BodyText"/>
      </w:pPr>
      <w:r>
        <w:t xml:space="preserve">Selected References:</w:t>
      </w:r>
    </w:p>
    <w:p>
      <w:pPr>
        <w:numPr>
          <w:ilvl w:val="0"/>
          <w:numId w:val="1004"/>
        </w:numPr>
        <w:pStyle w:val="Compact"/>
      </w:pPr>
      <w:r>
        <w:t xml:space="preserve">Saudi Vision 2030 Health Sector Transformation Program. Ministry of Health, Kingdom of Saudi Arabia.</w:t>
      </w:r>
    </w:p>
    <w:p>
      <w:pPr>
        <w:numPr>
          <w:ilvl w:val="0"/>
          <w:numId w:val="1004"/>
        </w:numPr>
        <w:pStyle w:val="Compact"/>
      </w:pPr>
      <w:r>
        <w:t xml:space="preserve">Al-Mohaithef, M., et al. (2023). "Prevalence of Metabolic Disorders in Urban Riyadh: A Five-Year Review." Journal of Saudi Medical Research.</w:t>
      </w:r>
    </w:p>
    <w:p>
      <w:pPr>
        <w:numPr>
          <w:ilvl w:val="0"/>
          <w:numId w:val="1004"/>
        </w:numPr>
        <w:pStyle w:val="Compact"/>
      </w:pPr>
      <w:r>
        <w:t xml:space="preserve">Khalil, S., &amp; Al-Hassan, N. (2024). "Genomic Variants and Drug Response in the Arabian Peninsula Population." Arab Health Sciences Journal.</w:t>
      </w:r>
    </w:p>
    <w:p>
      <w:pPr>
        <w:numPr>
          <w:ilvl w:val="0"/>
          <w:numId w:val="1004"/>
        </w:numPr>
        <w:pStyle w:val="Compact"/>
      </w:pPr>
      <w:r>
        <w:t xml:space="preserve">Saudi Data and AI Authority (SDAIA). Reports on Digital Health Implementation Strategies.</w:t>
      </w:r>
    </w:p>
    <w:bookmarkEnd w:id="27"/>
    <w:p>
      <w:pPr>
        <w:pStyle w:val="FirstParagraph"/>
      </w:pPr>
      <w:r>
        <w:t xml:space="preserve">© 2024 Riyadh Medical Research Institute. All Rights Reserved.</w:t>
      </w:r>
    </w:p>
    <w:p>
      <w:pPr>
        <w:pStyle w:val="BodyText"/>
      </w:pPr>
      <w:r>
        <w:t xml:space="preserve">Presentation designed for academic dissemination in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 in Saudi Arabia Riyadh</dc:title>
  <dc:creator/>
  <dc:language>en</dc:language>
  <cp:keywords/>
  <dcterms:created xsi:type="dcterms:W3CDTF">2026-07-29T22:34:38Z</dcterms:created>
  <dcterms:modified xsi:type="dcterms:W3CDTF">2026-07-29T22:34:38Z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