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Precision</w:t>
      </w:r>
      <w:r>
        <w:t xml:space="preserve"> </w:t>
      </w:r>
      <w:r>
        <w:t xml:space="preserve">Medicine</w:t>
      </w:r>
      <w:r>
        <w:t xml:space="preserve"> </w:t>
      </w:r>
      <w:r>
        <w:t xml:space="preserve">and</w:t>
      </w:r>
      <w:r>
        <w:t xml:space="preserve"> </w:t>
      </w:r>
      <w:r>
        <w:t xml:space="preserve">Immunotherapy</w:t>
      </w:r>
    </w:p>
    <w:bookmarkStart w:id="20" w:name="Xf28028243e13026159d6e7a22fda2288c3c40ae"/>
    <w:p>
      <w:pPr>
        <w:pStyle w:val="Heading1"/>
      </w:pPr>
      <w:r>
        <w:t xml:space="preserve">Bridging Genomics and Immunotherapy: A Novel Approach to Non-Small Cell Lung Cancer</w:t>
      </w:r>
    </w:p>
    <w:p>
      <w:pPr>
        <w:pStyle w:val="FirstParagraph"/>
      </w:pPr>
      <w:r>
        <w:t xml:space="preserve">Presented at the International Medical Research Symposium, Spain Barcelona</w:t>
      </w:r>
    </w:p>
    <w:p>
      <w:pPr>
        <w:pStyle w:val="BodyText"/>
      </w:pPr>
      <w:r>
        <w:rPr>
          <w:bCs/>
          <w:b/>
        </w:rPr>
        <w:t xml:space="preserve">Presentation Lead:</w:t>
      </w:r>
      <w:r>
        <w:t xml:space="preserve"> </w:t>
      </w:r>
      <w:r>
        <w:t xml:space="preserve">Dr. Elena Rodriguez</w:t>
      </w:r>
      <w:r>
        <w:br/>
      </w:r>
      <w:r>
        <w:rPr>
          <w:bCs/>
          <w:b/>
        </w:rPr>
        <w:t xml:space="preserve">Affiliation:</w:t>
      </w:r>
      <w:r>
        <w:t xml:space="preserve"> </w:t>
      </w:r>
      <w:r>
        <w:t xml:space="preserve">Center for Oncology and Genomic Medicine</w:t>
      </w:r>
      <w:r>
        <w:br/>
      </w:r>
    </w:p>
    <w:p>
      <w:pPr>
        <w:pStyle w:val="BodyText"/>
      </w:pPr>
      <w:r>
        <w:rPr>
          <w:iCs/>
          <w:i/>
        </w:rPr>
        <w:t xml:space="preserve">This academic poster presentation outlines our recent findings regarding the integration of next-generation sequencing with checkpoint inhibitors, specifically tailored for diverse patient populations in Spain Barcelona and broader European contexts.</w:t>
      </w:r>
    </w:p>
    <w:bookmarkEnd w:id="20"/>
    <w:bookmarkStart w:id="21" w:name="introduction-and-background"/>
    <w:p>
      <w:pPr>
        <w:pStyle w:val="Heading2"/>
      </w:pPr>
      <w:r>
        <w:t xml:space="preserve">1. Introduction and Background</w:t>
      </w:r>
    </w:p>
    <w:p>
      <w:pPr>
        <w:pStyle w:val="FirstParagraph"/>
      </w:pPr>
      <w:r>
        <w:t xml:space="preserve">The landscape of oncology is undergoing a paradigm shift driven by the convergence of genomic data and immunotherapeutic interventions. Specifically, Non-Small Cell Lung Cancer (NSCLC) remains one of the leading causes of cancer-related mortality worldwide. While traditional chemotherapy has served as the backbone for decades, the emergence of immune checkpoint inhibitors (ICIs), such as PD-1 and PD-L1 blockers, has offered new hope for long-term survival.</w:t>
      </w:r>
    </w:p>
    <w:p>
      <w:pPr>
        <w:pStyle w:val="BodyText"/>
      </w:pPr>
      <w:r>
        <w:t xml:space="preserve">However, a significant challenge persists: not all patients respond to these therapies. Identifying predictive biomarkers is crucial for optimizing treatment outcomes. This</w:t>
      </w:r>
      <w:r>
        <w:t xml:space="preserve"> </w:t>
      </w:r>
      <w:r>
        <w:rPr>
          <w:bCs/>
          <w:b/>
        </w:rPr>
        <w:t xml:space="preserve">Poster Presentation academic</w:t>
      </w:r>
      <w:r>
        <w:t xml:space="preserve"> </w:t>
      </w:r>
      <w:r>
        <w:t xml:space="preserve">document details our multi-center study conducted in collaboration with leading institutions in</w:t>
      </w:r>
      <w:r>
        <w:t xml:space="preserve"> </w:t>
      </w:r>
      <w:r>
        <w:rPr>
          <w:bCs/>
          <w:b/>
        </w:rPr>
        <w:t xml:space="preserve">Spain Barcelona</w:t>
      </w:r>
      <w:r>
        <w:t xml:space="preserve">. By leveraging the robust clinical trial infrastructure available in this vibrant medical hub, we aim to provide a comprehensive analysis of how specific genetic mutations influence patient response to combined immunotherapies.</w:t>
      </w:r>
    </w:p>
    <w:bookmarkEnd w:id="21"/>
    <w:bookmarkStart w:id="22" w:name="objectives-of-the-study"/>
    <w:p>
      <w:pPr>
        <w:pStyle w:val="Heading2"/>
      </w:pPr>
      <w:r>
        <w:t xml:space="preserve">2. Objectives of the Study</w:t>
      </w:r>
    </w:p>
    <w:p>
      <w:pPr>
        <w:pStyle w:val="FirstParagraph"/>
      </w:pPr>
      <w:r>
        <w:t xml:space="preserve">The primary objective of this research is to determine the correlation between tumor mutational burden (TMB) and clinical response rates in NSCLC patients treated with combination therapy. Specifically, we sought to answer the following questions:</w:t>
      </w:r>
    </w:p>
    <w:p>
      <w:pPr>
        <w:numPr>
          <w:ilvl w:val="0"/>
          <w:numId w:val="1001"/>
        </w:numPr>
        <w:pStyle w:val="Compact"/>
      </w:pPr>
      <w:r>
        <w:t xml:space="preserve">How does high TMB correlate with progression-free survival (PFS) in the context of local healthcare systems?</w:t>
      </w:r>
    </w:p>
    <w:p>
      <w:pPr>
        <w:numPr>
          <w:ilvl w:val="0"/>
          <w:numId w:val="1001"/>
        </w:numPr>
        <w:pStyle w:val="Compact"/>
      </w:pPr>
      <w:r>
        <w:t xml:space="preserve">Are there specific demographic or geographic factors within</w:t>
      </w:r>
      <w:r>
        <w:t xml:space="preserve"> </w:t>
      </w:r>
      <w:r>
        <w:rPr>
          <w:bCs/>
          <w:b/>
        </w:rPr>
        <w:t xml:space="preserve">Spain Barcelona</w:t>
      </w:r>
      <w:r>
        <w:t xml:space="preserve"> </w:t>
      </w:r>
      <w:r>
        <w:t xml:space="preserve">that influence treatment efficacy?</w:t>
      </w:r>
    </w:p>
    <w:bookmarkEnd w:id="22"/>
    <w:bookmarkStart w:id="23" w:name="methodology"/>
    <w:p>
      <w:pPr>
        <w:pStyle w:val="Heading2"/>
      </w:pPr>
      <w:r>
        <w:t xml:space="preserve">3. Methodology</w:t>
      </w:r>
    </w:p>
    <w:p>
      <w:pPr>
        <w:pStyle w:val="FirstParagraph"/>
      </w:pPr>
      <w:r>
        <w:t xml:space="preserve">This study employed a rigorous retrospective cohort design, analyzing data from 150 patients diagnosed with Stage IV NSCLC. All participants were treated at major hospitals in</w:t>
      </w:r>
      <w:r>
        <w:t xml:space="preserve"> </w:t>
      </w:r>
      <w:r>
        <w:rPr>
          <w:bCs/>
          <w:b/>
        </w:rPr>
        <w:t xml:space="preserve">Spain Barcelona</w:t>
      </w:r>
      <w:r>
        <w:t xml:space="preserve">, ensuring a standardized protocol for sample collection and sequencing.</w:t>
      </w:r>
    </w:p>
    <w:p>
      <w:pPr>
        <w:pStyle w:val="BodyText"/>
      </w:pPr>
      <w:r>
        <w:rPr>
          <w:bCs/>
          <w:b/>
        </w:rPr>
        <w:t xml:space="preserve">Data Collection:</w:t>
      </w:r>
    </w:p>
    <w:p>
      <w:pPr>
        <w:pStyle w:val="BodyText"/>
      </w:pPr>
      <w:r>
        <w:t xml:space="preserve">Tissue samples were collected via biopsy prior to treatment initiation.</w:t>
      </w:r>
    </w:p>
    <w:p>
      <w:pPr>
        <w:pStyle w:val="BodyText"/>
      </w:pPr>
      <w:r>
        <w:t xml:space="preserve">NexGen Sequencing (NGS) panels were used to identify somatic mutations across 500 cancer-related genes.</w:t>
      </w:r>
    </w:p>
    <w:p>
      <w:pPr>
        <w:pStyle w:val="BodyText"/>
      </w:pPr>
      <w:r>
        <w:t xml:space="preserve">Clinical outcomes were tracked over a period of 24 months post-treatment initiation.</w:t>
      </w:r>
    </w:p>
    <w:p>
      <w:pPr>
        <w:pStyle w:val="BodyText"/>
      </w:pPr>
      <w:r>
        <w:rPr>
          <w:bCs/>
          <w:b/>
        </w:rPr>
        <w:t xml:space="preserve">Statistical Analysis:</w:t>
      </w:r>
    </w:p>
    <w:p>
      <w:pPr>
        <w:pStyle w:val="BodyText"/>
      </w:pPr>
      <w:r>
        <w:t xml:space="preserve">Survival curves were generated using Kaplan-Meier estimators.</w:t>
      </w:r>
    </w:p>
    <w:p>
      <w:pPr>
        <w:pStyle w:val="BodyText"/>
      </w:pPr>
      <w:r>
        <w:t xml:space="preserve">Hazard ratios were calculated to assess the risk of disease progression or death.</w:t>
      </w:r>
    </w:p>
    <w:p>
      <w:pPr>
        <w:pStyle w:val="BodyText"/>
      </w:pPr>
      <w:r>
        <w:t xml:space="preserve">Multivariate logistic regression was applied to control for confounding variables such as age, smoking history, and baseline performance status.</w:t>
      </w:r>
    </w:p>
    <w:bookmarkEnd w:id="23"/>
    <w:bookmarkStart w:id="24" w:name="results"/>
    <w:p>
      <w:pPr>
        <w:pStyle w:val="Heading2"/>
      </w:pPr>
      <w:r>
        <w:t xml:space="preserve">4. Results</w:t>
      </w:r>
    </w:p>
    <w:p>
      <w:pPr>
        <w:pStyle w:val="FirstParagraph"/>
      </w:pPr>
      <w:r>
        <w:t xml:space="preserve">The initial analysis reveals promising trends regarding the efficacy of immunotherapy in patients with high tumor mutational burden. Key findings include:</w:t>
      </w:r>
    </w:p>
    <w:p>
      <w:pPr>
        <w:pStyle w:val="BodyText"/>
      </w:pPr>
      <w:r>
        <w:t xml:space="preserve">Metric</w:t>
      </w:r>
    </w:p>
    <w:bookmarkEnd w:id="24"/>
    <w:p>
      <w:pPr>
        <w:pStyle w:val="BodyText"/>
      </w:pPr>
      <w:r>
        <w:t xml:space="preserve">Patient Group A (High TMB)</w:t>
      </w:r>
    </w:p>
    <w:p>
      <w:pPr>
        <w:pStyle w:val="BodyText"/>
      </w:pPr>
      <w:r>
        <w:t xml:space="preserve">Patient Group B (Low TMB)</w:t>
      </w:r>
    </w:p>
    <w:p>
      <w:pPr>
        <w:pStyle w:val="BodyText"/>
      </w:pPr>
      <w:r>
        <w:t xml:space="preserve">Average Progression-Free Survival</w:t>
      </w:r>
    </w:p>
    <w:p>
      <w:pPr>
        <w:pStyle w:val="BodyText"/>
      </w:pPr>
      <w:r>
        <w:t xml:space="preserve">14.2 Months</w:t>
      </w:r>
    </w:p>
    <w:p>
      <w:pPr>
        <w:pStyle w:val="BodyText"/>
      </w:pPr>
      <w:r>
        <w:t xml:space="preserve">6.5 Months</w:t>
      </w:r>
    </w:p>
    <w:p>
      <w:pPr>
        <w:pStyle w:val="BodyText"/>
      </w:pPr>
      <w:r>
        <w:t xml:space="preserve">Overall Response Rate (ORR)d &gt;&lt; td style="color:# 28a745 ;"&gt;38%&lt; td &gt;12%</w:t>
      </w:r>
    </w:p>
    <w:p>
      <w:pPr>
        <w:pStyle w:val="BodyText"/>
      </w:pPr>
      <w:r>
        <w:t xml:space="preserve">Grade 3-4 Adverse Events</w:t>
      </w:r>
    </w:p>
    <w:p>
      <w:pPr>
        <w:pStyle w:val="BodyText"/>
      </w:pPr>
      <w:r>
        <w:t xml:space="preserve">15%</w:t>
      </w:r>
    </w:p>
    <w:p>
      <w:pPr>
        <w:pStyle w:val="BodyText"/>
      </w:pPr>
      <w:r>
        <w:t xml:space="preserve">10%t&gt;</w:t>
      </w:r>
    </w:p>
    <w:p>
      <w:pPr>
        <w:pStyle w:val="BodyText"/>
      </w:pPr>
      <w:r>
        <w:t xml:space="preserve">t/div</w:t>
      </w:r>
    </w:p>
    <w:p>
      <w:pPr>
        <w:pStyle w:val="BodyText"/>
      </w:pPr>
      <w:r>
        <w:t xml:space="preserve">&lt; br/&gt;</w:t>
      </w:r>
    </w:p>
    <w:p>
      <w:pPr>
        <w:pStyle w:val="BodyText"/>
      </w:pPr>
      <w:r>
        <w:t xml:space="preserve">The data indicates that patients with higher mutational burdens, often indicative of a more aggressive but potentially more immunogenic tumor profile, responded significantly better to the treatment regimen. Notably, the study population in</w:t>
      </w:r>
      <w:r>
        <w:t xml:space="preserve"> </w:t>
      </w:r>
      <w:r>
        <w:rPr>
          <w:bCs/>
          <w:b/>
        </w:rPr>
        <w:t xml:space="preserve">Spain Barcelona</w:t>
      </w:r>
      <w:r>
        <w:t xml:space="preserve"> </w:t>
      </w:r>
      <w:r>
        <w:t xml:space="preserve">demonstrated comparable outcomes to other European cohorts, suggesting that geographical location does not inherently disadvantage patients when access to advanced genomic testing is provided.</w:t>
      </w:r>
    </w:p>
    <w:bookmarkStart w:id="25" w:name="X989d6d22fb837cc57ffbc3abbbe5ae63ad6b11c"/>
    <w:p>
      <w:pPr>
        <w:pStyle w:val="Heading2"/>
      </w:pPr>
      <w:r>
        <w:t xml:space="preserve">5. Discussion: The Role of the Local Medical Ecosystem</w:t>
      </w:r>
    </w:p>
    <w:p>
      <w:pPr>
        <w:pStyle w:val="FirstParagraph"/>
      </w:pPr>
      <w:r>
        <w:t xml:space="preserve">The success of this study underscores the importance of integrating academic rigor with local clinical practice. As a dedicated</w:t>
      </w:r>
      <w:r>
        <w:t xml:space="preserve"> </w:t>
      </w:r>
      <w:r>
        <w:rPr>
          <w:bCs/>
          <w:b/>
        </w:rPr>
        <w:t xml:space="preserve">Medical Researcher</w:t>
      </w:r>
      <w:r>
        <w:t xml:space="preserve">, I have observed that institutions in Barcelona possess unique strengths in handling diverse patient populations and executing complex protocols. The collaboration between hospital oncologists, bioinformaticians, and basic scientists is seamless here.</w:t>
      </w:r>
    </w:p>
    <w:p>
      <w:pPr>
        <w:pStyle w:val="BodyText"/>
      </w:pPr>
      <w:r>
        <w:t xml:space="preserve">This collaborative model allowed us to rapidly iterate on our sequencing strategies. For instance, when initial results suggested a discrepancy in TMB calculation methods between different labs, we were able to convene an urgent working group in Barcelona to harmonize protocols. This agility is critical for ensuring the validity of our</w:t>
      </w:r>
      <w:r>
        <w:t xml:space="preserve"> </w:t>
      </w:r>
      <w:r>
        <w:rPr>
          <w:bCs/>
          <w:b/>
        </w:rPr>
        <w:t xml:space="preserve">Poster Presentation academic</w:t>
      </w:r>
      <w:r>
        <w:t xml:space="preserve"> </w:t>
      </w:r>
      <w:r>
        <w:t xml:space="preserve">findings.</w:t>
      </w:r>
    </w:p>
    <w:bookmarkEnd w:id="25"/>
    <w:bookmarkStart w:id="26" w:name="conclusion-and-future-directions"/>
    <w:p>
      <w:pPr>
        <w:pStyle w:val="Heading2"/>
      </w:pPr>
      <w:r>
        <w:t xml:space="preserve">6. Conclusion and Future Directions</w:t>
      </w:r>
    </w:p>
    <w:p>
      <w:pPr>
        <w:pStyle w:val="FirstParagraph"/>
      </w:pPr>
      <w:r>
        <w:t xml:space="preserve">In conclusion, our research supports the integration of TMB assessment into routine clinical practice for NSCLC patients in Spain and beyond. By identifying high-TMB patients early, clinicians can prioritize immunotherapy, potentially sparing low-TMB patients from unnecessary toxicity while directing them toward alternative treatment pathways.</w:t>
      </w:r>
    </w:p>
    <w:p>
      <w:pPr>
        <w:pStyle w:val="BodyText"/>
      </w:pPr>
      <w:r>
        <w:rPr>
          <w:bCs/>
          <w:b/>
        </w:rPr>
        <w:t xml:space="preserve">Future Work:</w:t>
      </w:r>
    </w:p>
    <w:p>
      <w:pPr>
        <w:numPr>
          <w:ilvl w:val="0"/>
          <w:numId w:val="1002"/>
        </w:numPr>
        <w:pStyle w:val="Compact"/>
      </w:pPr>
      <w:r>
        <w:t xml:space="preserve">We are currently expanding this study to include a prospective phase II trial.</w:t>
      </w:r>
    </w:p>
    <w:p>
      <w:pPr>
        <w:numPr>
          <w:ilvl w:val="0"/>
          <w:numId w:val="1002"/>
        </w:numPr>
        <w:pStyle w:val="Compact"/>
      </w:pPr>
      <w:r>
        <w:t xml:space="preserve">We aim to collaborate with additional centers across the Mediterranean region to validate these findings in broader populations.</w:t>
      </w:r>
    </w:p>
    <w:p>
      <w:pPr>
        <w:numPr>
          <w:ilvl w:val="0"/>
          <w:numId w:val="1002"/>
        </w:numPr>
        <w:pStyle w:val="Compact"/>
      </w:pPr>
      <w:r>
        <w:t xml:space="preserve">Further analysis will focus on microenvironmental factors that may enhance the efficacy of current immunotherapies.</w:t>
      </w:r>
    </w:p>
    <w:bookmarkEnd w:id="26"/>
    <w:bookmarkStart w:id="27" w:name="references-and-acknowledgments"/>
    <w:p>
      <w:pPr>
        <w:pStyle w:val="Heading2"/>
      </w:pPr>
      <w:r>
        <w:t xml:space="preserve">7. References and Acknowledgments</w:t>
      </w:r>
    </w:p>
    <w:p>
      <w:pPr>
        <w:pStyle w:val="FirstParagraph"/>
      </w:pPr>
      <w:r>
        <w:t xml:space="preserve">We extend our deepest gratitude to the patients who participated in this study and their families. We also thank the technical staff at the sequencing facilities in Barcelona for their meticulous work.</w:t>
      </w:r>
    </w:p>
    <w:p>
      <w:pPr>
        <w:pStyle w:val="BodyText"/>
      </w:pPr>
      <w:r>
        <w:rPr>
          <w:bCs/>
          <w:b/>
        </w:rPr>
        <w:t xml:space="preserve">Select References:</w:t>
      </w:r>
    </w:p>
    <w:p>
      <w:pPr>
        <w:numPr>
          <w:ilvl w:val="0"/>
          <w:numId w:val="1003"/>
        </w:numPr>
        <w:pStyle w:val="Compact"/>
      </w:pPr>
      <w:r>
        <w:t xml:space="preserve">Smith, J., et al. (2023). "Genomic Landscapes of Lung Cancer." *Journal of Clinical Oncology*.</w:t>
      </w:r>
    </w:p>
    <w:p>
      <w:pPr>
        <w:numPr>
          <w:ilvl w:val="0"/>
          <w:numId w:val="1003"/>
        </w:numPr>
        <w:pStyle w:val="Compact"/>
      </w:pPr>
      <w:r>
        <w:t xml:space="preserve">Garcia, L., &amp; Perez, M. (2022). "Immunotherapy Trends in Southern Europe." *European Respiratory Journal*.</w:t>
      </w:r>
    </w:p>
    <w:p>
      <w:pPr>
        <w:numPr>
          <w:ilvl w:val="0"/>
          <w:numId w:val="1003"/>
        </w:numPr>
        <w:pStyle w:val="Compact"/>
      </w:pPr>
      <w:r>
        <w:t xml:space="preserve">World Health Organization. (2024). "Global Cancer Statistics."</w:t>
      </w:r>
    </w:p>
    <w:p>
      <w:r>
        <w:pict>
          <v:rect style="width:0;height:1.5pt" o:hralign="center" o:hrstd="t" o:hr="t"/>
        </w:pict>
      </w:r>
    </w:p>
    <w:p>
      <w:pPr>
        <w:pStyle w:val="FirstParagraph"/>
      </w:pPr>
      <w:r>
        <w:rPr>
          <w:bCs/>
          <w:b/>
        </w:rPr>
        <w:t xml:space="preserve">Contact Information:</w:t>
      </w:r>
      <w:r>
        <w:br/>
      </w:r>
      <w:r>
        <w:t xml:space="preserve">Dr. Elena Rodriguez</w:t>
      </w:r>
      <w:r>
        <w:br/>
      </w:r>
      <w:r>
        <w:t xml:space="preserve">Email: elena.rodriguez@researchinstitute.org</w:t>
      </w:r>
      <w:r>
        <w:br/>
      </w:r>
      <w:r>
        <w:t xml:space="preserve">Phone: +34 93 123 4567</w:t>
      </w:r>
      <w:r>
        <w:br/>
      </w:r>
      <w:r>
        <w:t xml:space="preserve">Address: Via Laietana, Barcelona, Spain</w:t>
      </w:r>
    </w:p>
    <w:p>
      <w:pPr>
        <w:pStyle w:val="BodyText"/>
      </w:pPr>
      <w:r>
        <w:t xml:space="preserve">© 2024 Medical Research Institute.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Precision Medicine and Immunotherapy</dc:title>
  <dc:creator/>
  <dc:language>en</dc:language>
  <cp:keywords/>
  <dcterms:created xsi:type="dcterms:W3CDTF">2026-07-30T12:27:21Z</dcterms:created>
  <dcterms:modified xsi:type="dcterms:W3CDTF">2026-07-30T12:27:21Z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