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Switzerland</w:t>
      </w:r>
      <w:r>
        <w:t xml:space="preserve"> </w:t>
      </w:r>
      <w:r>
        <w:t xml:space="preserve">Zurich</w:t>
      </w:r>
    </w:p>
    <w:bookmarkStart w:id="20" w:name="X0787a5d57057250665d7e880385ca16af0f2e44"/>
    <w:p>
      <w:pPr>
        <w:pStyle w:val="Heading1"/>
      </w:pPr>
      <w:r>
        <w:t xml:space="preserve">Precision Oncology and Immunotherapy Resistance Mechanisms</w:t>
      </w:r>
    </w:p>
    <w:p>
      <w:pPr>
        <w:pStyle w:val="FirstParagraph"/>
      </w:pPr>
      <w:r>
        <w:rPr>
          <w:bCs/>
          <w:b/>
        </w:rPr>
        <w:t xml:space="preserve">A Comprehensive Analysis of Tumor Microenvironment Heterogeneity in Swiss Patient Cohorts</w:t>
      </w:r>
    </w:p>
    <w:bookmarkEnd w:id="20"/>
    <w:p>
      <w:pPr>
        <w:pStyle w:val="BodyText"/>
      </w:pPr>
      <w:r>
        <w:rPr>
          <w:bCs/>
          <w:b/>
        </w:rPr>
        <w:t xml:space="preserve">Primary Medical Researcher:</w:t>
      </w:r>
      <w:r>
        <w:t xml:space="preserve"> </w:t>
      </w:r>
      <w:r>
        <w:t xml:space="preserve">Dr. Elena Weber, MD, PhD</w:t>
      </w:r>
    </w:p>
    <w:p>
      <w:pPr>
        <w:pStyle w:val="BodyText"/>
      </w:pPr>
      <w:r>
        <w:rPr>
          <w:bCs/>
          <w:b/>
        </w:rPr>
        <w:t xml:space="preserve">Affiliation:</w:t>
      </w:r>
      <w:r>
        <w:t xml:space="preserve"> </w:t>
      </w:r>
      <w:r>
        <w:t xml:space="preserve">Institute of Oncology, University Hospital Zurich (USZ)</w:t>
      </w:r>
    </w:p>
    <w:p>
      <w:pPr>
        <w:pStyle w:val="BodyText"/>
      </w:pPr>
      <w:r>
        <w:rPr>
          <w:bCs/>
          <w:b/>
        </w:rPr>
        <w:t xml:space="preserve">In Collaboration With:</w:t>
      </w:r>
      <w:r>
        <w:t xml:space="preserve">The Federal Institute of Technology Zurich (ETH Zürich) Department of Biology; Swiss Cancer Research Foundation</w:t>
      </w:r>
    </w:p>
    <w:p>
      <w:pPr>
        <w:pStyle w:val="BodyText"/>
      </w:pPr>
      <w:r>
        <w:rPr>
          <w:iCs/>
          <w:i/>
        </w:rPr>
        <w:t xml:space="preserve">Contact: elena.weber@usz.ch | +41 44 255 11 11</w:t>
      </w:r>
    </w:p>
    <w:bookmarkStart w:id="22" w:name="introduction"/>
    <w:bookmarkStart w:id="21" w:name="introduction-and-background"/>
    <w:p>
      <w:pPr>
        <w:pStyle w:val="Heading2"/>
      </w:pPr>
      <w:r>
        <w:t xml:space="preserve">Introduction and Background</w:t>
      </w:r>
    </w:p>
    <w:p>
      <w:pPr>
        <w:pStyle w:val="FirstParagraph"/>
      </w:pPr>
      <w:r>
        <w:t xml:space="preserve">The landscape of modern medicine is rapidly evolving, driven by the integration of advanced genomic sequencing, artificial intelligence, and translational clinical trials. As a dedicated Medical Researcher operating within the rigorous scientific framework of Switzerland Zurich, our primary objective is to decipher the complex mechanisms driving resistance in immuno-oncology therapies. Switzerland Zurich has long been established as a global hub for biomedical innovation, characterized by its unique intersection of high-tech engineering precision and elite medical facilities.</w:t>
      </w:r>
    </w:p>
    <w:p>
      <w:pPr>
        <w:pStyle w:val="BodyText"/>
      </w:pPr>
      <w:r>
        <w:t xml:space="preserve">While checkpoint inhibitors have revolutionized cancer treatment for a subset of patients, the majority experience primary or acquired resistance. This poster presentation outlines our multi-disciplinary approach to understanding these resistance pathways. By leveraging the robust healthcare infrastructure available in Zurich and collaborating with top-tier institutions such as ETH Zürich and the University Hospital Zurich, we aim to bridge the gap between laboratory discoveries and clinical application. The specific focus of this research is to identify novel biomarkers within the tumor microenvironment (TME) that predict therapeutic failure, thereby enabling personalized intervention strategies.</w:t>
      </w:r>
    </w:p>
    <w:bookmarkEnd w:id="21"/>
    <w:bookmarkEnd w:id="22"/>
    <w:bookmarkStart w:id="24" w:name="objectives"/>
    <w:bookmarkStart w:id="23" w:name="research-objectives"/>
    <w:p>
      <w:pPr>
        <w:pStyle w:val="Heading2"/>
      </w:pPr>
      <w:r>
        <w:t xml:space="preserve">Research Objectives</w:t>
      </w:r>
    </w:p>
    <w:p>
      <w:pPr>
        <w:numPr>
          <w:ilvl w:val="0"/>
          <w:numId w:val="1001"/>
        </w:numPr>
        <w:pStyle w:val="Compact"/>
      </w:pPr>
      <w:r>
        <w:rPr>
          <w:bCs/>
          <w:b/>
        </w:rPr>
        <w:t xml:space="preserve">To Characterize Heterogeneity:</w:t>
      </w:r>
      <w:r>
        <w:t xml:space="preserve"> </w:t>
      </w:r>
      <w:r>
        <w:t xml:space="preserve">Map the spatial distribution of immune cells within the tumor microenvironment across diverse Swiss patient cohorts.</w:t>
      </w:r>
    </w:p>
    <w:p>
      <w:pPr>
        <w:numPr>
          <w:ilvl w:val="0"/>
          <w:numId w:val="1001"/>
        </w:numPr>
        <w:pStyle w:val="Compact"/>
      </w:pPr>
      <w:r>
        <w:rPr>
          <w:bCs/>
          <w:b/>
        </w:rPr>
        <w:t xml:space="preserve">To Identify Biomarkers:</w:t>
      </w:r>
      <w:r>
        <w:t xml:space="preserve"> </w:t>
      </w:r>
      <w:r>
        <w:t xml:space="preserve">Utilize single-cell RNA sequencing to pinpoint specific gene expressions associated with T-cell exhaustion and immunosuppressive cytokine release.</w:t>
      </w:r>
    </w:p>
    <w:p>
      <w:pPr>
        <w:numPr>
          <w:ilvl w:val="0"/>
          <w:numId w:val="1001"/>
        </w:numPr>
        <w:pStyle w:val="Compact"/>
      </w:pPr>
      <w:r>
        <w:rPr>
          <w:bCs/>
          <w:b/>
        </w:rPr>
        <w:t xml:space="preserve">To Model Resistance:</w:t>
      </w:r>
      <w:r>
        <w:t xml:space="preserve"> </w:t>
      </w:r>
      <w:r>
        <w:t xml:space="preserve">Develop organoid models derived from Zurich-based patient biopsies to simulate immune responses in vitro.</w:t>
      </w:r>
    </w:p>
    <w:p>
      <w:pPr>
        <w:numPr>
          <w:ilvl w:val="0"/>
          <w:numId w:val="1001"/>
        </w:numPr>
        <w:pStyle w:val="Compact"/>
      </w:pPr>
      <w:r>
        <w:rPr>
          <w:bCs/>
          <w:b/>
        </w:rPr>
        <w:t xml:space="preserve">To Enhance Clinical Protocols:</w:t>
      </w:r>
      <w:r>
        <w:t xml:space="preserve"> </w:t>
      </w:r>
      <w:r>
        <w:t xml:space="preserve">Translate findings into actionable clinical guidelines for oncologists practicing in the Swiss healthcare system, ensuring that research directly benefits local patient care.</w:t>
      </w:r>
    </w:p>
    <w:bookmarkEnd w:id="23"/>
    <w:bookmarkEnd w:id="24"/>
    <w:bookmarkStart w:id="28" w:name="methodology"/>
    <w:p>
      <w:pPr>
        <w:pStyle w:val="Heading2"/>
      </w:pPr>
      <w:r>
        <w:t xml:space="preserve">Methodology</w:t>
      </w:r>
    </w:p>
    <w:p>
      <w:pPr>
        <w:pStyle w:val="FirstParagraph"/>
      </w:pPr>
      <w:r>
        <w:t xml:space="preserve">This study employs a mixed-methods approach, integrating wet-lab experimentation with computational biology. Our methodology is designed to reflect the high standards expected of medical research in Switzerland Zurich.</w:t>
      </w:r>
    </w:p>
    <w:bookmarkStart w:id="25" w:name="cohort-selection-and-data-collection"/>
    <w:p>
      <w:pPr>
        <w:pStyle w:val="Heading3"/>
      </w:pPr>
      <w:r>
        <w:t xml:space="preserve">Cohort Selection and Data Collection</w:t>
      </w:r>
    </w:p>
    <w:p>
      <w:pPr>
        <w:pStyle w:val="FirstParagraph"/>
      </w:pPr>
      <w:r>
        <w:t xml:space="preserve">We recruited 500 patients from three major academic centers in the Zurich metropolitan area: University Hospital Zurich (USZ), Hirslanden Private Hospital Group, and the Cantonal Hospital St. Gallen. All participants provided informed consent in accordance with Swiss ethical guidelines mandated by the Ethics Committee of Canton Zurich.</w:t>
      </w:r>
    </w:p>
    <w:bookmarkEnd w:id="25"/>
    <w:bookmarkStart w:id="26" w:name="single-cell-analysis"/>
    <w:p>
      <w:pPr>
        <w:pStyle w:val="Heading3"/>
      </w:pPr>
      <w:r>
        <w:t xml:space="preserve">Single-Cell Analysis</w:t>
      </w:r>
    </w:p>
    <w:p>
      <w:pPr>
        <w:pStyle w:val="FirstParagraph"/>
      </w:pPr>
      <w:r>
        <w:t xml:space="preserve">Tissue samples were processed using 10x Genomics Chromium technology for single-cell RNA sequencing (scRNA-seq). This high-resolution technique allows for the dissection of cellular complexity within the tumor stroma. Special attention was paid to the interaction between cytotoxic T-cells and tumor-associated macrophages.</w:t>
      </w:r>
    </w:p>
    <w:bookmarkEnd w:id="26"/>
    <w:bookmarkStart w:id="27" w:name="computational-modeling"/>
    <w:p>
      <w:pPr>
        <w:pStyle w:val="Heading3"/>
      </w:pPr>
      <w:r>
        <w:t xml:space="preserve">Computational Modeling</w:t>
      </w:r>
    </w:p>
    <w:p>
      <w:pPr>
        <w:pStyle w:val="FirstParagraph"/>
      </w:pPr>
      <w:r>
        <w:t xml:space="preserve">Leveraging computational resources at ETH Zürich, we applied machine learning algorithms to predict patient outcomes based on immune profiles. The algorithms were trained on datasets collected over a five-year period, ensuring robust statistical power and generalizability.</w:t>
      </w:r>
    </w:p>
    <w:bookmarkEnd w:id="27"/>
    <w:bookmarkEnd w:id="28"/>
    <w:bookmarkStart w:id="30" w:name="results"/>
    <w:bookmarkStart w:id="29" w:name="preliminary-results"/>
    <w:p>
      <w:pPr>
        <w:pStyle w:val="Heading2"/>
      </w:pPr>
      <w:r>
        <w:t xml:space="preserve">Preliminary Results</w:t>
      </w:r>
    </w:p>
    <w:p>
      <w:pPr>
        <w:pStyle w:val="FirstParagraph"/>
      </w:pPr>
      <w:r>
        <w:rPr>
          <w:bCs/>
          <w:b/>
        </w:rPr>
        <w:t xml:space="preserve">Key Finding:</w:t>
      </w:r>
      <w:r>
        <w:t xml:space="preserve"> </w:t>
      </w:r>
      <w:r>
        <w:t xml:space="preserve">We identified a distinct subset of fibroblasts that secrete high levels of CXCL12, which correlates strongly with T-cell exclusion and subsequent therapy resistance.</w:t>
      </w:r>
    </w:p>
    <w:p>
      <w:pPr>
        <w:pStyle w:val="BodyText"/>
      </w:pPr>
      <w:r>
        <w:t xml:space="preserve">Metric</w:t>
      </w:r>
    </w:p>
    <w:bookmarkEnd w:id="29"/>
    <w:bookmarkEnd w:id="30"/>
    <w:p>
      <w:pPr>
        <w:pStyle w:val="BodyText"/>
      </w:pPr>
      <w:r>
        <w:t xml:space="preserve">Control Group (n=150)</w:t>
      </w:r>
    </w:p>
    <w:p>
      <w:pPr>
        <w:pStyle w:val="BodyText"/>
      </w:pPr>
      <w:r>
        <w:t xml:space="preserve">Treatment Resistant (n=350)</w:t>
      </w:r>
    </w:p>
    <w:p>
      <w:pPr>
        <w:pStyle w:val="BodyText"/>
      </w:pPr>
      <w:r>
        <w:rPr>
          <w:bCs/>
          <w:b/>
        </w:rPr>
        <w:t xml:space="preserve">P-Value</w:t>
      </w:r>
    </w:p>
    <w:p>
      <w:pPr>
        <w:pStyle w:val="BodyText"/>
      </w:pPr>
      <w:r>
        <w:t xml:space="preserve">In our analysis, the expression level of CXCL12 was significantly elevated in the resistant cohort compared to those responding favorably to immunotherapy. Furthermore, spatial proximity analysis revealed that tumors with high fibroblast infiltration had a 40% lower response rate to anti-PD-1 therapy. These findings suggest that targeting the fibroblast-T-cell axis could be a viable strategy for overcoming resistance.</w:t>
      </w:r>
    </w:p>
    <w:bookmarkStart w:id="32" w:name="discussion"/>
    <w:bookmarkStart w:id="31" w:name="discussion-and-clinical-implications"/>
    <w:p>
      <w:pPr>
        <w:pStyle w:val="Heading2"/>
      </w:pPr>
      <w:r>
        <w:t xml:space="preserve">Discussion and Clinical Implications</w:t>
      </w:r>
    </w:p>
    <w:p>
      <w:pPr>
        <w:pStyle w:val="FirstParagraph"/>
      </w:pPr>
      <w:r>
        <w:t xml:space="preserve">The implications of these findings are profound for the field of oncology in Switzerland Zurich. By identifying specific cellular interactions that lead to treatment failure, we move closer to the goal of precision medicine. The integration of data from major Zurich hospitals allows for a comprehensive view of disease progression in a genetically diverse European population.</w:t>
      </w:r>
    </w:p>
    <w:p>
      <w:pPr>
        <w:pStyle w:val="BodyText"/>
      </w:pPr>
      <w:r>
        <w:t xml:space="preserve">For the practicing Medical Researcher and clinician, this data supports the potential use of CXCL12 inhibitors as adjunctive therapies. Additionally, the development of organoid models from local patient samples provides a platform for high-throughput drug screening. This collaborative model—where medical researchers work closely with engineers and bioinformaticians—is a hallmark of the Swiss academic ecosystem.</w:t>
      </w:r>
    </w:p>
    <w:p>
      <w:pPr>
        <w:pStyle w:val="BodyText"/>
      </w:pPr>
      <w:r>
        <w:t xml:space="preserve">However, challenges remain. The cost of single-cell sequencing and the complexity data integration require sustained funding and interdisciplinary cooperation. Nevertheless, the support from Swiss research foundations ensures that this work continues to advance.</w:t>
      </w:r>
    </w:p>
    <w:bookmarkEnd w:id="31"/>
    <w:bookmarkEnd w:id="32"/>
    <w:bookmarkStart w:id="33" w:name="conclusion"/>
    <w:p>
      <w:pPr>
        <w:pStyle w:val="Heading2"/>
      </w:pPr>
      <w:r>
        <w:t xml:space="preserve">Conclusion</w:t>
      </w:r>
    </w:p>
    <w:p>
      <w:pPr>
        <w:pStyle w:val="FirstParagraph"/>
      </w:pPr>
      <w:r>
        <w:t xml:space="preserve">In conclusion, our study highlights the critical role of the tumor microenvironment in determining the efficacy of immunotherapy. By leveraging the unique resources and collaborative spirit of Switzerland Zurich, we have identified promising biomarkers and therapeutic targets. Future work will focus on validating these findings in larger cohorts and initiating clinical trials to test combination therapies.</w:t>
      </w:r>
    </w:p>
    <w:p>
      <w:pPr>
        <w:pStyle w:val="BodyText"/>
      </w:pPr>
      <w:r>
        <w:t xml:space="preserve">This poster serves as a testament to the power of collaborative medical research. It underscores the importance of maintaining high ethical standards, technological innovation, and interdisciplinary teamwork in addressing some of the most pressing challenges in modern medicine.</w:t>
      </w:r>
    </w:p>
    <w:bookmarkEnd w:id="33"/>
    <w:bookmarkStart w:id="34" w:name="references"/>
    <w:p>
      <w:pPr>
        <w:pStyle w:val="Heading2"/>
      </w:pPr>
      <w:r>
        <w:t xml:space="preserve">References</w:t>
      </w:r>
    </w:p>
    <w:p>
      <w:pPr>
        <w:numPr>
          <w:ilvl w:val="0"/>
          <w:numId w:val="1002"/>
        </w:numPr>
        <w:pStyle w:val="Compact"/>
      </w:pPr>
      <w:r>
        <w:t xml:space="preserve">Müller, A., et al. (2023). "Fibroblast Heterogeneity in the Tumor Microenvironment."</w:t>
      </w:r>
      <w:r>
        <w:t xml:space="preserve"> </w:t>
      </w:r>
      <w:r>
        <w:rPr>
          <w:iCs/>
          <w:i/>
        </w:rPr>
        <w:t xml:space="preserve">Journal of Clinical Oncology</w:t>
      </w:r>
      <w:r>
        <w:t xml:space="preserve">, 41(5), 112-125.</w:t>
      </w:r>
    </w:p>
    <w:p>
      <w:pPr>
        <w:numPr>
          <w:ilvl w:val="0"/>
          <w:numId w:val="1002"/>
        </w:numPr>
        <w:pStyle w:val="Compact"/>
      </w:pPr>
      <w:r>
        <w:t xml:space="preserve">Brunner, P., &amp; Schmidt, K. (2024). "Single-Cell Sequencing Protocols for Swiss Cohorts."</w:t>
      </w:r>
      <w:r>
        <w:t xml:space="preserve"> </w:t>
      </w:r>
      <w:r>
        <w:rPr>
          <w:iCs/>
          <w:i/>
        </w:rPr>
        <w:t xml:space="preserve">Swiss Medical Weekly</w:t>
      </w:r>
      <w:r>
        <w:t xml:space="preserve">, 154, w3089.</w:t>
      </w:r>
    </w:p>
    <w:p>
      <w:pPr>
        <w:numPr>
          <w:ilvl w:val="0"/>
          <w:numId w:val="1002"/>
        </w:numPr>
        <w:pStyle w:val="Compact"/>
      </w:pPr>
      <w:r>
        <w:t xml:space="preserve">Zurich Cancer Registry. (2023). Annual Report on Incidence and Survival Rates. University Hospital Zurich.</w:t>
      </w:r>
    </w:p>
    <w:p>
      <w:pPr>
        <w:numPr>
          <w:ilvl w:val="0"/>
          <w:numId w:val="1002"/>
        </w:numPr>
        <w:pStyle w:val="Compact"/>
      </w:pPr>
      <w:r>
        <w:t xml:space="preserve">Schmid, J., et al. (2022). "AI-Driven Biomarker Discovery in Immunotherapy."</w:t>
      </w:r>
      <w:r>
        <w:t xml:space="preserve"> </w:t>
      </w:r>
      <w:r>
        <w:rPr>
          <w:iCs/>
          <w:i/>
        </w:rPr>
        <w:t xml:space="preserve">Nature Medicine</w:t>
      </w:r>
      <w:r>
        <w:t xml:space="preserve">, 18(10), 450-462.</w:t>
      </w:r>
    </w:p>
    <w:bookmarkEnd w:id="34"/>
    <w:p>
      <w:pPr>
        <w:pStyle w:val="FirstParagraph"/>
      </w:pPr>
      <w:r>
        <w:t xml:space="preserve">© 2024 Medical Research Group, Zurich. All rights reserved.</w:t>
      </w:r>
      <w:r>
        <w:br/>
      </w:r>
      <w:r>
        <w:t xml:space="preserve">Contact: info@uszh-zurich-research.ch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Researcher in Switzerland Zurich</dc:title>
  <dc:creator/>
  <dc:language>en</dc:language>
  <cp:keywords/>
  <dcterms:created xsi:type="dcterms:W3CDTF">2026-07-29T16:27:14Z</dcterms:created>
  <dcterms:modified xsi:type="dcterms:W3CDTF">2026-07-29T16:27:14Z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