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Poster</w:t>
      </w:r>
      <w:r>
        <w:t xml:space="preserve"> </w:t>
      </w:r>
      <w:r>
        <w:t xml:space="preserve">Presentation:</w:t>
      </w:r>
      <w:r>
        <w:t xml:space="preserve"> </w:t>
      </w:r>
      <w:r>
        <w:t xml:space="preserve">Ankara</w:t>
      </w:r>
      <w:r>
        <w:t xml:space="preserve"> </w:t>
      </w:r>
      <w:r>
        <w:t xml:space="preserve">Summit</w:t>
      </w:r>
    </w:p>
    <w:bookmarkStart w:id="31" w:name="Xe06dc88864665cece847055fa45df9c7ca155bc"/>
    <w:p>
      <w:pPr>
        <w:pStyle w:val="Heading1"/>
      </w:pPr>
      <w:r>
        <w:t xml:space="preserve">Bridging Borders in Healthcare:</w:t>
      </w:r>
      <w:r>
        <w:br/>
      </w:r>
      <w:r>
        <w:t xml:space="preserve">A New Paradigm for Medical Researcher Collaboration in Turkey Ankara</w:t>
      </w:r>
    </w:p>
    <w:p>
      <w:pPr>
        <w:pStyle w:val="FirstParagraph"/>
      </w:pPr>
      <w:r>
        <w:t xml:space="preserve">Presented at the International Symposium on Clinical Sciences and Public Health</w:t>
      </w:r>
      <w:r>
        <w:br/>
      </w:r>
      <w:r>
        <w:t xml:space="preserve">Location: Ankara, Turkey</w:t>
      </w:r>
      <w:r>
        <w:br/>
      </w:r>
      <w:r>
        <w:t xml:space="preserve">Author: Dr. Alex J. Sterling, MD, PhD</w:t>
      </w:r>
      <w:r>
        <w:br/>
      </w:r>
      <w:r>
        <w:t xml:space="preserve">Department of Global Epidemiology &amp; Translational Medicine</w:t>
      </w:r>
    </w:p>
    <w:bookmarkStart w:id="20" w:name="i.-introduction-and-context"/>
    <w:p>
      <w:pPr>
        <w:pStyle w:val="Heading2"/>
      </w:pPr>
      <w:r>
        <w:t xml:space="preserve">I. Introduction and Context</w:t>
      </w:r>
    </w:p>
    <w:p>
      <w:pPr>
        <w:pStyle w:val="FirstParagraph"/>
      </w:pPr>
      <w:r>
        <w:t xml:space="preserve">In the rapidly evolving landscape of global health, the role of a dedicated</w:t>
      </w:r>
      <w:r>
        <w:t xml:space="preserve"> </w:t>
      </w:r>
      <w:r>
        <w:rPr>
          <w:bCs/>
          <w:b/>
        </w:rPr>
        <w:t xml:space="preserve">Medical Researcher</w:t>
      </w:r>
      <w:r>
        <w:t xml:space="preserve"> </w:t>
      </w:r>
      <w:r>
        <w:t xml:space="preserve">has shifted from isolated laboratory inquiry to collaborative, cross-border innovation. This poster presentation outlines a comprehensive framework for enhancing medical research initiatives specifically within the capital city of Turkey, Ankara. As Turkey positions itself as a pivotal bridge between Europe and Asia both culturally and scientifically, Ankara has emerged as a critical hub for biomedical innovation.</w:t>
      </w:r>
    </w:p>
    <w:p>
      <w:pPr>
        <w:pStyle w:val="BodyText"/>
      </w:pPr>
      <w:r>
        <w:t xml:space="preserve">The primary objective of this study is to analyze how integrating local healthcare challenges with international</w:t>
      </w:r>
      <w:r>
        <w:t xml:space="preserve"> </w:t>
      </w:r>
      <w:r>
        <w:rPr>
          <w:bCs/>
          <w:b/>
        </w:rPr>
        <w:t xml:space="preserve">Medical Researcher</w:t>
      </w:r>
      <w:r>
        <w:t xml:space="preserve"> </w:t>
      </w:r>
      <w:r>
        <w:t xml:space="preserve">expertise can accelerate breakthroughs in infectious disease control, oncology, and genetic health patterns. By focusing on the unique epidemiological profile of Ankara, we aim to demonstrate that targeted research efforts can yield scalable solutions applicable not only locally but also within the broader Mediterranean and Middle Eastern contexts.</w:t>
      </w:r>
    </w:p>
    <w:bookmarkEnd w:id="20"/>
    <w:bookmarkStart w:id="23" w:name="ii.-methodological-framework"/>
    <w:p>
      <w:pPr>
        <w:pStyle w:val="Heading2"/>
      </w:pPr>
      <w:r>
        <w:t xml:space="preserve">II. Methodological Framework</w:t>
      </w:r>
    </w:p>
    <w:bookmarkStart w:id="21" w:name="a.-data-collection-in-ankara"/>
    <w:p>
      <w:pPr>
        <w:pStyle w:val="Heading3"/>
      </w:pPr>
      <w:r>
        <w:t xml:space="preserve">A. Data Collection in Ankara</w:t>
      </w:r>
    </w:p>
    <w:p>
      <w:pPr>
        <w:pStyle w:val="FirstParagraph"/>
      </w:pPr>
      <w:r>
        <w:t xml:space="preserve">The research methodology employed a mixed-methods approach, combining quantitative clinical data with qualitative sociological assessments. Data was collected over a 24-month period from three major academic medical centers located in central Ankara: Hacettepe University Hospital, Ankara University Medical School, and the General Directorate of Health (SGK) databases.</w:t>
      </w:r>
    </w:p>
    <w:p>
      <w:pPr>
        <w:pStyle w:val="BodyText"/>
      </w:pPr>
      <w:r>
        <w:t xml:space="preserve">As a</w:t>
      </w:r>
      <w:r>
        <w:t xml:space="preserve"> </w:t>
      </w:r>
      <w:r>
        <w:rPr>
          <w:bCs/>
          <w:b/>
        </w:rPr>
        <w:t xml:space="preserve">Medical Researcher</w:t>
      </w:r>
      <w:r>
        <w:t xml:space="preserve">, it is crucial to note that data anonymization protocols strictly adhered to both Turkish Law No. 6698 on the Protection of Personal Data and international GDPR standards. This dual compliance ensures that the integrity of the research is maintained, fostering trust among local practitioners and international collaborators.</w:t>
      </w:r>
    </w:p>
    <w:bookmarkEnd w:id="21"/>
    <w:bookmarkStart w:id="22" w:name="b.-collaborative-networks"/>
    <w:p>
      <w:pPr>
        <w:pStyle w:val="Heading3"/>
      </w:pPr>
      <w:r>
        <w:t xml:space="preserve">B. Collaborative Networks</w:t>
      </w:r>
    </w:p>
    <w:p>
      <w:pPr>
        <w:pStyle w:val="FirstParagraph"/>
      </w:pPr>
      <w:r>
        <w:t xml:space="preserve">The study established a robust network connecting independent</w:t>
      </w:r>
      <w:r>
        <w:t xml:space="preserve"> </w:t>
      </w:r>
      <w:r>
        <w:rPr>
          <w:bCs/>
          <w:b/>
        </w:rPr>
        <w:t xml:space="preserve">Medical Researcher</w:t>
      </w:r>
      <w:r>
        <w:t xml:space="preserve">s with local public health officials. Regular symposia were held in Ankara to discuss interim findings, allowing for real-time adjustment of research parameters. This collaborative model proved essential in navigating the bureaucratic and logistical complexities inherent in large-scale multi-center trials within a major urban center like Ankara.</w:t>
      </w:r>
    </w:p>
    <w:bookmarkEnd w:id="22"/>
    <w:bookmarkEnd w:id="23"/>
    <w:bookmarkStart w:id="26" w:name="iii.-key-findings"/>
    <w:p>
      <w:pPr>
        <w:pStyle w:val="Heading2"/>
      </w:pPr>
      <w:r>
        <w:t xml:space="preserve">III. Key Findings</w:t>
      </w:r>
    </w:p>
    <w:bookmarkStart w:id="24" w:name="a.-epidemiological-shifts"/>
    <w:p>
      <w:pPr>
        <w:pStyle w:val="Heading3"/>
      </w:pPr>
      <w:r>
        <w:t xml:space="preserve">A. Epidemiological Shifts</w:t>
      </w:r>
    </w:p>
    <w:p>
      <w:pPr>
        <w:pStyle w:val="FirstParagraph"/>
      </w:pPr>
      <w:r>
        <w:t xml:space="preserve">The analysis revealed significant shifts in the prevalence of non-communicable diseases (NCDs) among the population of Ankara. Contrary to previous assumptions, there was a marked increase in metabolic syndromes correlated with rapid urbanization in specific districts of Ankara. Our team, acting as proactive</w:t>
      </w:r>
      <w:r>
        <w:t xml:space="preserve"> </w:t>
      </w:r>
      <w:r>
        <w:rPr>
          <w:bCs/>
          <w:b/>
        </w:rPr>
        <w:t xml:space="preserve">Medical Researcher</w:t>
      </w:r>
      <w:r>
        <w:t xml:space="preserve">s, identified that dietary transitions driven by industrial food availability were the primary contributors.</w:t>
      </w:r>
    </w:p>
    <w:bookmarkEnd w:id="24"/>
    <w:bookmarkStart w:id="25" w:name="b.-the-role-of-digital-health"/>
    <w:p>
      <w:pPr>
        <w:pStyle w:val="Heading3"/>
      </w:pPr>
      <w:r>
        <w:t xml:space="preserve">B. The Role of Digital Health</w:t>
      </w:r>
    </w:p>
    <w:p>
      <w:pPr>
        <w:pStyle w:val="FirstParagraph"/>
      </w:pPr>
      <w:r>
        <w:t xml:space="preserve">A secondary but critical finding involved the adoption of digital health records in Ankara’s public hospitals. The data indicated that when a</w:t>
      </w:r>
      <w:r>
        <w:t xml:space="preserve"> </w:t>
      </w:r>
      <w:r>
        <w:rPr>
          <w:bCs/>
          <w:b/>
        </w:rPr>
        <w:t xml:space="preserve">Medical Researcher</w:t>
      </w:r>
      <w:r>
        <w:t xml:space="preserve"> </w:t>
      </w:r>
      <w:r>
        <w:t xml:space="preserve">leverages real-time electronic health records (EHR), diagnostic accuracy improves by 18%. This highlights the urgent need for infrastructure investment in Ankara to support advanced computational biology and AI-driven diagnostics.</w:t>
      </w:r>
    </w:p>
    <w:bookmarkEnd w:id="25"/>
    <w:bookmarkEnd w:id="26"/>
    <w:bookmarkStart w:id="28" w:name="iv.-discussion-the-ankara-advantage"/>
    <w:p>
      <w:pPr>
        <w:pStyle w:val="Heading2"/>
      </w:pPr>
      <w:r>
        <w:t xml:space="preserve">IV. Discussion: The Ankara Advantage</w:t>
      </w:r>
    </w:p>
    <w:p>
      <w:pPr>
        <w:pStyle w:val="FirstParagraph"/>
      </w:pPr>
      <w:r>
        <w:t xml:space="preserve">The implications of these findings extend far beyond the immediate geographic scope of Turkey. Ankara, as the political and administrative capital, possesses a unique infrastructure that allows for rapid policy implementation based on scientific evidence. When a</w:t>
      </w:r>
      <w:r>
        <w:t xml:space="preserve"> </w:t>
      </w:r>
      <w:r>
        <w:rPr>
          <w:bCs/>
          <w:b/>
        </w:rPr>
        <w:t xml:space="preserve">Medical Researcher</w:t>
      </w:r>
      <w:r>
        <w:t xml:space="preserve"> </w:t>
      </w:r>
      <w:r>
        <w:t xml:space="preserve">engages with this ecosystem, they find not just subjects for study, but active partners in policy-making.</w:t>
      </w:r>
    </w:p>
    <w:p>
      <w:pPr>
        <w:pStyle w:val="BodyText"/>
      </w:pPr>
      <w:r>
        <w:t xml:space="preserve">We argue that Ankara offers an ideal testbed for translational medicine. The demographic diversity of the city allows researchers to observe health outcomes across various socioeconomic strata within a single urban framework. This is particularly valuable for a</w:t>
      </w:r>
      <w:r>
        <w:t xml:space="preserve"> </w:t>
      </w:r>
      <w:r>
        <w:rPr>
          <w:bCs/>
          <w:b/>
        </w:rPr>
        <w:t xml:space="preserve">Medical Researcher</w:t>
      </w:r>
      <w:r>
        <w:t xml:space="preserve"> </w:t>
      </w:r>
      <w:r>
        <w:t xml:space="preserve">seeking to understand how social determinants of health interact with genetic predispositions.</w:t>
      </w:r>
    </w:p>
    <w:bookmarkStart w:id="27" w:name="a.-challenges-and-solutions"/>
    <w:p>
      <w:pPr>
        <w:pStyle w:val="Heading3"/>
      </w:pPr>
      <w:r>
        <w:t xml:space="preserve">A. Challenges and Solutions</w:t>
      </w:r>
    </w:p>
    <w:p>
      <w:pPr>
        <w:numPr>
          <w:ilvl w:val="0"/>
          <w:numId w:val="1001"/>
        </w:numPr>
        <w:pStyle w:val="Compact"/>
      </w:pPr>
      <w:r>
        <w:t xml:space="preserve">Language Barriers:</w:t>
      </w:r>
      <w:r>
        <w:t xml:space="preserve"> </w:t>
      </w:r>
      <w:r>
        <w:t xml:space="preserve">While English is widely used in academia, clinical interactions in Ankara require localized communication tools. We developed a bilingual research assistant program to mitigate this.</w:t>
      </w:r>
    </w:p>
    <w:p>
      <w:pPr>
        <w:numPr>
          <w:ilvl w:val="0"/>
          <w:numId w:val="1001"/>
        </w:numPr>
        <w:pStyle w:val="Compact"/>
      </w:pPr>
      <w:r>
        <w:t xml:space="preserve">Regulatory Hurdles:</w:t>
      </w:r>
      <w:r>
        <w:t xml:space="preserve"> </w:t>
      </w:r>
      <w:r>
        <w:t xml:space="preserve">Navigating the ethics committees in Turkey can be complex. Establishing long-term partnerships with established institutions like those mentioned above significantly streamlines this process for visiting and local</w:t>
      </w:r>
      <w:r>
        <w:t xml:space="preserve"> </w:t>
      </w:r>
      <w:r>
        <w:rPr>
          <w:bCs/>
          <w:b/>
        </w:rPr>
        <w:t xml:space="preserve">Medical Researcher</w:t>
      </w:r>
      <w:r>
        <w:t xml:space="preserve">s alike.</w:t>
      </w:r>
    </w:p>
    <w:bookmarkEnd w:id="27"/>
    <w:bookmarkEnd w:id="28"/>
    <w:bookmarkStart w:id="29" w:name="v.-conclusion-and-future-directions"/>
    <w:p>
      <w:pPr>
        <w:pStyle w:val="Heading2"/>
      </w:pPr>
      <w:r>
        <w:t xml:space="preserve">V. Conclusion and Future Directions</w:t>
      </w:r>
    </w:p>
    <w:p>
      <w:pPr>
        <w:pStyle w:val="FirstParagraph"/>
      </w:pPr>
      <w:r>
        <w:t xml:space="preserve">In conclusion, this poster presentation underscores the critical importance of location-specific research strategies. For any</w:t>
      </w:r>
      <w:r>
        <w:t xml:space="preserve"> </w:t>
      </w:r>
      <w:r>
        <w:rPr>
          <w:bCs/>
          <w:b/>
        </w:rPr>
        <w:t xml:space="preserve">Medical Researcher</w:t>
      </w:r>
      <w:r>
        <w:t xml:space="preserve">, understanding the local context—whether it is in Boston, Berlin, or Ankara—is just as vital as mastering laboratory techniques.</w:t>
      </w:r>
    </w:p>
    <w:p>
      <w:pPr>
        <w:pStyle w:val="BodyText"/>
      </w:pPr>
      <w:r>
        <w:t xml:space="preserve">Ankara represents a frontier for medical innovation in Turkey. By fostering stronger ties between international scientific bodies and local Turkish healthcare providers, we can unlock new avenues for treatment and prevention. We call upon the global community of</w:t>
      </w:r>
      <w:r>
        <w:t xml:space="preserve"> </w:t>
      </w:r>
      <w:r>
        <w:rPr>
          <w:bCs/>
          <w:b/>
        </w:rPr>
        <w:t xml:space="preserve">Medical Researcher</w:t>
      </w:r>
      <w:r>
        <w:t xml:space="preserve">s to view Ankara not merely as a destination, but as a partner.</w:t>
      </w:r>
    </w:p>
    <w:p>
      <w:pPr>
        <w:pStyle w:val="BodyText"/>
      </w:pPr>
      <w:r>
        <w:t xml:space="preserve">The future of medicine is collaborative, data-driven, and culturally competent. Through sustained engagement in Turkey’s capital, we are building a model for research excellence that respects local heritage while embracing global scientific standards. We invite further dialogue and collaboration to expand these initiatives across all healthcare sectors in Ankara.</w:t>
      </w:r>
    </w:p>
    <w:bookmarkEnd w:id="29"/>
    <w:bookmarkStart w:id="30" w:name="vi.-selected-references"/>
    <w:p>
      <w:pPr>
        <w:pStyle w:val="Heading2"/>
      </w:pPr>
      <w:r>
        <w:t xml:space="preserve">VI. Selected References</w:t>
      </w:r>
    </w:p>
    <w:p>
      <w:pPr>
        <w:numPr>
          <w:ilvl w:val="0"/>
          <w:numId w:val="1002"/>
        </w:numPr>
        <w:pStyle w:val="Compact"/>
      </w:pPr>
      <w:r>
        <w:t xml:space="preserve">Kaya, A., &amp; Yilmaz, S. (2023). *Urbanization and Metabolic Health in Ankara*. Journal of Turkish Epidemiology.</w:t>
      </w:r>
    </w:p>
    <w:p>
      <w:pPr>
        <w:numPr>
          <w:ilvl w:val="0"/>
          <w:numId w:val="1002"/>
        </w:numPr>
        <w:pStyle w:val="Compact"/>
      </w:pPr>
      <w:r>
        <w:t xml:space="preserve">Sterling, A.J. (2024). *Translational Medicine in Emerging Markets*. Global Health Review.</w:t>
      </w:r>
    </w:p>
    <w:p>
      <w:pPr>
        <w:numPr>
          <w:ilvl w:val="0"/>
          <w:numId w:val="1002"/>
        </w:numPr>
        <w:pStyle w:val="Compact"/>
      </w:pPr>
      <w:r>
        <w:t xml:space="preserve">Turkish Ministry of Health. (2023). *Annual Statistical Yearbook: Ankara Province*. Republic of Turkey Publications.</w:t>
      </w:r>
    </w:p>
    <w:p>
      <w:pPr>
        <w:pStyle w:val="FirstParagraph"/>
      </w:pPr>
      <w:r>
        <w:t xml:space="preserve">© 2024 Medical Researcher Symposium | Ankara, Turkey | All Rights Reserved</w:t>
      </w:r>
    </w:p>
    <w:p>
      <w:pPr>
        <w:pStyle w:val="BodyText"/>
      </w:pPr>
      <w:r>
        <w:t xml:space="preserve">Contact: a.sterling@globalhealthresearch.org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Poster Presentation: Ankara Summit</dc:title>
  <dc:creator/>
  <dc:language>en</dc:language>
  <cp:keywords/>
  <dcterms:created xsi:type="dcterms:W3CDTF">2026-07-29T16:22:18Z</dcterms:created>
  <dcterms:modified xsi:type="dcterms:W3CDTF">2026-07-29T16:22:18Z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