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27" w:name="X808e5164a75a5e9e4bbb6a50fffdd3c481626b0"/>
    <w:p>
      <w:pPr>
        <w:pStyle w:val="Heading1"/>
      </w:pPr>
      <w:r>
        <w:t xml:space="preserve">Bridging the Gap: Innovative Diagnostic Strategies for Tuberculosis in Resource-Limited Settings</w:t>
      </w:r>
    </w:p>
    <w:p>
      <w:pPr>
        <w:pStyle w:val="FirstParagraph"/>
      </w:pPr>
      <w:r>
        <w:rPr>
          <w:iCs/>
          <w:i/>
          <w:bCs/>
          <w:b/>
        </w:rPr>
        <w:t xml:space="preserve">Presentation by Lead Medical Researcher, Public Health Division</w:t>
      </w:r>
      <w:r>
        <w:br/>
      </w:r>
      <w:r>
        <w:rPr>
          <w:iCs/>
          <w:i/>
          <w:bCs/>
          <w:b/>
        </w:rPr>
        <w:t xml:space="preserve">Kampala Infectious Diseases Research Institute (KIDRI)</w:t>
      </w:r>
      <w:r>
        <w:br/>
      </w:r>
      <w:r>
        <w:rPr>
          <w:iCs/>
          <w:i/>
          <w:bCs/>
          <w:b/>
        </w:rPr>
        <w:t xml:space="preserve">Uganda Kampala, Uganda</w:t>
      </w:r>
    </w:p>
    <w:bookmarkStart w:id="20" w:name="background-and-rationale"/>
    <w:p>
      <w:pPr>
        <w:pStyle w:val="Heading3"/>
      </w:pPr>
      <w:r>
        <w:t xml:space="preserve">Background and Rationale</w:t>
      </w:r>
    </w:p>
    <w:p>
      <w:pPr>
        <w:pStyle w:val="FirstParagraph"/>
      </w:pPr>
      <w:r>
        <w:t xml:space="preserve">Tuberculosis (TB) remains one of the most significant public health challenges in Uganda. Despite global advancements in disease control, Uganda Kampala serves as a critical epicenter for epidemiological studies regarding multi-drug resistant TB (MDR-TB) and co-infections with Human Immunodeficiency Virus (HIV). As a dedicated Medical Researcher operating within this complex urban environment, our primary objective is to address the diagnostic latency that plagues current clinical pathways in low-resource settings. Traditional sputum smear microscopy, while accessible, suffers from low sensitivity, particularly among pediatric and HIV-positive cohorts. This</w:t>
      </w:r>
      <w:r>
        <w:t xml:space="preserve"> </w:t>
      </w:r>
      <w:r>
        <w:rPr>
          <w:bCs/>
          <w:b/>
        </w:rPr>
        <w:t xml:space="preserve">Poster Presentation academic</w:t>
      </w:r>
      <w:r>
        <w:t xml:space="preserve"> </w:t>
      </w:r>
      <w:r>
        <w:t xml:space="preserve">document outlines a novel point-of-care diagnostic framework designed specifically for the healthcare infrastructure found in Uganda Kampala.</w:t>
      </w:r>
    </w:p>
    <w:bookmarkEnd w:id="20"/>
    <w:bookmarkStart w:id="21" w:name="research-objectives"/>
    <w:p>
      <w:pPr>
        <w:pStyle w:val="Heading3"/>
      </w:pPr>
      <w:r>
        <w:t xml:space="preserve">Research Objectives</w:t>
      </w:r>
    </w:p>
    <w:p>
      <w:pPr>
        <w:pStyle w:val="FirstParagraph"/>
      </w:pPr>
      <w:r>
        <w:t xml:space="preserve">The primary goal of this study is to evaluate the efficacy of a new, rapid molecular diagnostic tool compared to standard care protocols. Specifically, we aim to: (1) Reduce the time-to-diagnosis from an average of 14 days to under 24 hours; (2) Improve patient retention rates in follow-up care by initiating treatment sooner; and (3) Assess the cost-effectiveness of implementing these technologies within public health facilities in Uganda Kampala. These objectives are critical for shaping national policy and enhancing the role of every</w:t>
      </w:r>
      <w:r>
        <w:t xml:space="preserve"> </w:t>
      </w:r>
      <w:r>
        <w:rPr>
          <w:bCs/>
          <w:b/>
        </w:rPr>
        <w:t xml:space="preserve">Medical Researcher</w:t>
      </w:r>
      <w:r>
        <w:t xml:space="preserve"> </w:t>
      </w:r>
      <w:r>
        <w:t xml:space="preserve">involved in infectious disease control.</w:t>
      </w:r>
    </w:p>
    <w:bookmarkEnd w:id="21"/>
    <w:bookmarkStart w:id="22" w:name="methodology-a-mixed-methods-approach"/>
    <w:p>
      <w:pPr>
        <w:pStyle w:val="Heading3"/>
      </w:pPr>
      <w:r>
        <w:t xml:space="preserve">Methodology: A Mixed-Methods Approach</w:t>
      </w:r>
    </w:p>
    <w:p>
      <w:pPr>
        <w:pStyle w:val="FirstParagraph"/>
      </w:pPr>
      <w:r>
        <w:t xml:space="preserve">This research employs a prospective, cluster-randomized controlled trial design. The study population comprises 1,200 adult patients presenting with chronic respiratory symptoms at three major health centers in Uganda Kampala. Participants are randomized into two arms: the intervention arm receives the new molecular diagnostic test (GeneXpert MTB/RIF Ultra), while the control arm receives standard smear microscopy services.</w:t>
      </w:r>
    </w:p>
    <w:p>
      <w:pPr>
        <w:pStyle w:val="BodyText"/>
      </w:pPr>
      <w:r>
        <w:t xml:space="preserve">Data collection includes clinical outcomes, treatment initiation timelines, and patient-reported outcome measures. Qualitative interviews are conducted with healthcare providers to assess workflow integration challenges. This rigorous</w:t>
      </w:r>
      <w:r>
        <w:t xml:space="preserve"> </w:t>
      </w:r>
      <w:r>
        <w:rPr>
          <w:bCs/>
          <w:b/>
        </w:rPr>
        <w:t xml:space="preserve">Poster Presentation academic</w:t>
      </w:r>
      <w:r>
        <w:t xml:space="preserve"> </w:t>
      </w:r>
      <w:r>
        <w:t xml:space="preserve">structure ensures that the data collected is robust enough to withstand peer review while remaining relevant to local stakeholders.</w:t>
      </w:r>
    </w:p>
    <w:bookmarkEnd w:id="22"/>
    <w:bookmarkStart w:id="23" w:name="preliminary-results"/>
    <w:p>
      <w:pPr>
        <w:pStyle w:val="Heading3"/>
      </w:pPr>
      <w:r>
        <w:t xml:space="preserve">Preliminary Results</w:t>
      </w:r>
    </w:p>
    <w:p>
      <w:pPr>
        <w:pStyle w:val="FirstParagraph"/>
      </w:pPr>
      <w:r>
        <w:rPr>
          <w:bCs/>
          <w:b/>
        </w:rPr>
        <w:t xml:space="preserve">Preliminary Findings (n=600 enrolled):</w:t>
      </w:r>
    </w:p>
    <w:p>
      <w:pPr>
        <w:numPr>
          <w:ilvl w:val="0"/>
          <w:numId w:val="1001"/>
        </w:numPr>
        <w:pStyle w:val="Compact"/>
      </w:pPr>
      <w:r>
        <w:rPr>
          <w:bCs/>
          <w:b/>
        </w:rPr>
        <w:t xml:space="preserve">Detection Rate:</w:t>
      </w:r>
      <w:r>
        <w:t xml:space="preserve"> </w:t>
      </w:r>
      <w:r>
        <w:t xml:space="preserve">The molecular diagnostic arm showed a 25% higher sensitivity in detecting active TB cases compared to the control group.</w:t>
      </w:r>
    </w:p>
    <w:p>
      <w:pPr>
        <w:numPr>
          <w:ilvl w:val="0"/>
          <w:numId w:val="1001"/>
        </w:numPr>
        <w:pStyle w:val="Compact"/>
      </w:pPr>
      <w:r>
        <w:t xml:space="preserve">Time-to-Treatment:</w:t>
      </w:r>
      <w:r>
        <w:br/>
      </w:r>
      <w:r>
        <w:t xml:space="preserve">The median time from sample collection to treatment initiation was reduced from 10.5 days in the control arm to 18 hours in the intervention arm. This represents a critical improvement for patient survival and public health containment.</w:t>
      </w:r>
    </w:p>
    <w:p>
      <w:pPr>
        <w:numPr>
          <w:ilvl w:val="0"/>
          <w:numId w:val="1001"/>
        </w:numPr>
        <w:pStyle w:val="Compact"/>
      </w:pPr>
      <w:r>
        <w:rPr>
          <w:bCs/>
          <w:b/>
        </w:rPr>
        <w:t xml:space="preserve">Retention:</w:t>
      </w:r>
      <w:r>
        <w:t xml:space="preserve"> </w:t>
      </w:r>
      <w:r>
        <w:t xml:space="preserve">Patients diagnosed via rapid testing were 40% more likely to complete their initial two months of therapy, highlighting the importance of immediate feedback loops in healthcare delivery.</w:t>
      </w:r>
    </w:p>
    <w:bookmarkEnd w:id="23"/>
    <w:bookmarkStart w:id="24" w:name="X6576a96b0fa04792e22834fab5eb00c90e3fb4d"/>
    <w:p>
      <w:pPr>
        <w:pStyle w:val="Heading3"/>
      </w:pPr>
      <w:r>
        <w:t xml:space="preserve">Discussion: Implications for Uganda Kampala</w:t>
      </w:r>
    </w:p>
    <w:p>
      <w:pPr>
        <w:pStyle w:val="FirstParagraph"/>
      </w:pPr>
      <w:r>
        <w:t xml:space="preserve">The findings presented in this poster underscore the urgent need for modernization in diagnostic infrastructure within Uganda Kampala. The significant reduction in diagnostic delay not only improves individual patient outcomes but also reduces community transmission rates. However, implementation is not without challenges. Supply chain logistics, specifically the maintenance of cold-chain requirements for reagents in tropical climates, remain a hurdle that requires innovative engineering solutions.</w:t>
      </w:r>
    </w:p>
    <w:p>
      <w:pPr>
        <w:pStyle w:val="BodyText"/>
      </w:pPr>
      <w:r>
        <w:t xml:space="preserve">Furthermore, this study highlights the evolving role of the</w:t>
      </w:r>
      <w:r>
        <w:t xml:space="preserve"> </w:t>
      </w:r>
      <w:r>
        <w:rPr>
          <w:bCs/>
          <w:b/>
        </w:rPr>
        <w:t xml:space="preserve">Medical Researcher</w:t>
      </w:r>
      <w:r>
        <w:t xml:space="preserve">. In Uganda Kampala, researchers must act not only as data analysts but as policy advocates and logistical coordinators. The integration of local community health workers into the diagnostic workflow has proven essential for overcoming barriers related to patient literacy and trust. This holistic approach ensures that academic findings translate into tangible public health improvements.</w:t>
      </w:r>
    </w:p>
    <w:bookmarkEnd w:id="24"/>
    <w:bookmarkStart w:id="25" w:name="conclusion"/>
    <w:p>
      <w:pPr>
        <w:pStyle w:val="Heading3"/>
      </w:pPr>
      <w:r>
        <w:t xml:space="preserve">Conclusion</w:t>
      </w:r>
    </w:p>
    <w:p>
      <w:pPr>
        <w:pStyle w:val="FirstParagraph"/>
      </w:pPr>
      <w:r>
        <w:t xml:space="preserve">In conclusion, this research demonstrates that rapid molecular diagnostics significantly enhance TB case detection and treatment initiation in urban Uganda. For the academic community and policymakers alike, the data supports a shift toward technology-driven diagnostic protocols. We advocate for increased funding and political will to scale these interventions across all health districts in Uganda Kampala. By bridging the gap between cutting-edge science and grassroots healthcare delivery, we can achieve meaningful progress against TB.</w:t>
      </w:r>
    </w:p>
    <w:bookmarkEnd w:id="25"/>
    <w:bookmarkStart w:id="26" w:name="references-acknowledgments"/>
    <w:p>
      <w:pPr>
        <w:pStyle w:val="Heading3"/>
      </w:pPr>
      <w:r>
        <w:t xml:space="preserve">References &amp; Acknowledgments</w:t>
      </w:r>
    </w:p>
    <w:p>
      <w:pPr>
        <w:pStyle w:val="FirstParagraph"/>
      </w:pPr>
      <w:r>
        <w:rPr>
          <w:iCs/>
          <w:i/>
        </w:rPr>
        <w:t xml:space="preserve">Acknowledgments:</w:t>
      </w:r>
      <w:r>
        <w:t xml:space="preserve"> </w:t>
      </w:r>
      <w:r>
        <w:t xml:space="preserve">We extend our gratitude to the Ministry of Health Uganda for their regulatory support and to the local communities in Kampala for their participation. Special thanks to the team of</w:t>
      </w:r>
      <w:r>
        <w:t xml:space="preserve"> </w:t>
      </w:r>
      <w:r>
        <w:rPr>
          <w:bCs/>
          <w:b/>
        </w:rPr>
        <w:t xml:space="preserve">Medical Researcher</w:t>
      </w:r>
      <w:r>
        <w:t xml:space="preserve"> </w:t>
      </w:r>
      <w:r>
        <w:t xml:space="preserve">fellows who conducted fieldwork under challenging conditions.</w:t>
      </w:r>
    </w:p>
    <w:p>
      <w:pPr>
        <w:pStyle w:val="BodyText"/>
      </w:pPr>
      <w:r>
        <w:rPr>
          <w:iCs/>
          <w:i/>
        </w:rPr>
        <w:t xml:space="preserve">Funding:</w:t>
      </w:r>
      <w:r>
        <w:t xml:space="preserve"> </w:t>
      </w:r>
      <w:r>
        <w:t xml:space="preserve">This work was supported by grants from the Global Health Innovation Fund and internal research allocations from institutions based in Uganda Kampala.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Uganda Kampala</dc:title>
  <dc:creator/>
  <dc:language>en</dc:language>
  <cp:keywords/>
  <dcterms:created xsi:type="dcterms:W3CDTF">2026-07-29T15:38:01Z</dcterms:created>
  <dcterms:modified xsi:type="dcterms:W3CDTF">2026-07-29T15:38:01Z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