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ddbbed6db996f315790932e86b95dbacc4074ce"/>
    <w:p>
      <w:pPr>
        <w:pStyle w:val="Heading1"/>
      </w:pPr>
      <w:r>
        <w:t xml:space="preserve">Bridging Innovation and Clinical Impact: The Role of the Modern Medical Researcher</w:t>
      </w:r>
    </w:p>
    <w:p>
      <w:pPr>
        <w:pStyle w:val="FirstParagraph"/>
      </w:pPr>
      <w:r>
        <w:t xml:space="preserve">Advancing Translational Medicine in a Global Health Context</w:t>
      </w:r>
    </w:p>
    <w:p>
      <w:pPr>
        <w:pStyle w:val="BodyText"/>
      </w:pPr>
      <w:r>
        <w:t xml:space="preserve">Presented by: Dr. Eleanor Vance, Lead Investigator</w:t>
      </w:r>
      <w:r>
        <w:br/>
      </w:r>
      <w:r>
        <w:t xml:space="preserve">Institute of Inflammation and Cancer, Faculty of Biology, Medicine and Health</w:t>
      </w:r>
      <w:r>
        <w:br/>
      </w:r>
      <w:r>
        <w:rPr>
          <w:bCs/>
          <w:b/>
        </w:rPr>
        <w:t xml:space="preserve">Affiliated with the United Kingdom Manchester</w:t>
      </w:r>
      <w:r>
        <w:t xml:space="preserve"> </w:t>
      </w:r>
      <w:r>
        <w:t xml:space="preserve">Research Ecosystem</w:t>
      </w:r>
      <w:r>
        <w:br/>
      </w:r>
      <w:r>
        <w:t xml:space="preserve">Conference Presentation Date: October 2023</w:t>
      </w:r>
    </w:p>
    <w:bookmarkStart w:id="20" w:name="introduction"/>
    <w:p>
      <w:pPr>
        <w:pStyle w:val="Heading3"/>
      </w:pPr>
      <w:r>
        <w:t xml:space="preserve">Introduction</w:t>
      </w:r>
    </w:p>
    <w:p>
      <w:pPr>
        <w:pStyle w:val="FirstParagraph"/>
      </w:pPr>
      <w:r>
        <w:t xml:space="preserve">In the rapidly evolving landscape of modern healthcare, the role of the</w:t>
      </w:r>
      <w:r>
        <w:t xml:space="preserve"> </w:t>
      </w:r>
      <w:r>
        <w:rPr>
          <w:bCs/>
          <w:b/>
        </w:rPr>
        <w:t xml:space="preserve">Medical Researcher</w:t>
      </w:r>
      <w:r>
        <w:t xml:space="preserve"> </w:t>
      </w:r>
      <w:r>
        <w:t xml:space="preserve">has transcended traditional laboratory boundaries. Today, researchers are expected to be polymaths—combining rigorous scientific inquiry with clinical empathy, technological proficiency, and public engagement. This poster presentation outlines the critical functions of contemporary medical science within a hub that is increasingly recognized as a premier destination for biomedical innovation.</w:t>
      </w:r>
    </w:p>
    <w:p>
      <w:pPr>
        <w:pStyle w:val="BodyText"/>
      </w:pPr>
      <w:r>
        <w:t xml:space="preserve">The primary objective of this academic discourse is to elucidate how dedicated professionals contribute to the global understanding of disease pathology, therapeutic development, and health policy. By examining recent case studies from our local institutions, we demonstrate how targeted investigation leads to tangible patient outcomes. Furthermore, we emphasize the necessity of interdisciplinary collaboration in addressing complex medical challenges such as antibiotic resistance, oncology precision medicine, and neurodegenerative disorders.</w:t>
      </w:r>
    </w:p>
    <w:bookmarkEnd w:id="20"/>
    <w:bookmarkStart w:id="21" w:name="the-united-kingdom-manchester-context"/>
    <w:p>
      <w:pPr>
        <w:pStyle w:val="Heading3"/>
      </w:pPr>
      <w:r>
        <w:t xml:space="preserve">The United Kingdom Manchester Context</w:t>
      </w:r>
    </w:p>
    <w:p>
      <w:pPr>
        <w:pStyle w:val="FirstParagraph"/>
      </w:pPr>
      <w:r>
        <w:t xml:space="preserve">The geographic and institutional setting is paramount to the success of any academic endeavor. Our focus is firmly rooted in the</w:t>
      </w:r>
      <w:r>
        <w:t xml:space="preserve"> </w:t>
      </w:r>
      <w:r>
        <w:rPr>
          <w:bCs/>
          <w:b/>
        </w:rPr>
        <w:t xml:space="preserve">United Kingdom Manchester</w:t>
      </w:r>
      <w:r>
        <w:t xml:space="preserve">, a city that has historically been at the forefront of industrial revolution and now stands as a beacon for scientific advancement. The region boasts one of Europe's largest academic health science systems, providing researchers with unparalleled access to diverse patient populations, state-of-the-art facilities, and robust funding structures.</w:t>
      </w:r>
    </w:p>
    <w:p>
      <w:pPr>
        <w:pStyle w:val="BodyText"/>
      </w:pPr>
      <w:r>
        <w:rPr>
          <w:bCs/>
          <w:b/>
        </w:rPr>
        <w:t xml:space="preserve">Why Manchester?</w:t>
      </w:r>
      <w:r>
        <w:br/>
      </w:r>
      <w:r>
        <w:t xml:space="preserve">The convergence of the University of Manchester and Manchester University NHS Foundation Trust creates a unique "bench-to-bedside" pipeline. This proximity allows for rapid translation of basic science discoveries into clinical trials, significantly accelerating the time it takes for new treatments to reach patients. The city’s vibrant research community fosters an environment where</w:t>
      </w:r>
      <w:r>
        <w:t xml:space="preserve"> </w:t>
      </w:r>
      <w:r>
        <w:rPr>
          <w:bCs/>
          <w:b/>
        </w:rPr>
        <w:t xml:space="preserve">Medical Researcher</w:t>
      </w:r>
      <w:r>
        <w:t xml:space="preserve"> </w:t>
      </w:r>
      <w:r>
        <w:t xml:space="preserve">practitioners can engage in cross-pollination of ideas across disciplines such as engineering, data science, and medicine.</w:t>
      </w:r>
    </w:p>
    <w:bookmarkEnd w:id="21"/>
    <w:bookmarkStart w:id="22" w:name="methodological-frameworks"/>
    <w:p>
      <w:pPr>
        <w:pStyle w:val="Heading3"/>
      </w:pPr>
      <w:r>
        <w:t xml:space="preserve">Methodological Frameworks</w:t>
      </w:r>
    </w:p>
    <w:p>
      <w:pPr>
        <w:pStyle w:val="FirstParagraph"/>
      </w:pPr>
      <w:r>
        <w:t xml:space="preserve">To ensure the integrity and reproducibility of our findings, our team employs a multi-modal methodological approach. This includes:</w:t>
      </w:r>
    </w:p>
    <w:p>
      <w:pPr>
        <w:numPr>
          <w:ilvl w:val="0"/>
          <w:numId w:val="1001"/>
        </w:numPr>
        <w:pStyle w:val="Compact"/>
      </w:pPr>
      <w:r>
        <w:rPr>
          <w:bCs/>
          <w:b/>
        </w:rPr>
        <w:t xml:space="preserve">In Vitro and In Vivo Modeling:</w:t>
      </w:r>
      <w:r>
        <w:t xml:space="preserve"> </w:t>
      </w:r>
      <w:r>
        <w:t xml:space="preserve">Utilizing advanced cellular assays and animal models to understand disease mechanisms at a molecular level.</w:t>
      </w:r>
    </w:p>
    <w:p>
      <w:pPr>
        <w:numPr>
          <w:ilvl w:val="0"/>
          <w:numId w:val="1001"/>
        </w:numPr>
        <w:pStyle w:val="Compact"/>
      </w:pPr>
      <w:r>
        <w:rPr>
          <w:bCs/>
          <w:b/>
        </w:rPr>
        <w:t xml:space="preserve">Epidemiological Studies:</w:t>
      </w:r>
      <w:r>
        <w:t xml:space="preserve"> </w:t>
      </w:r>
      <w:r>
        <w:t xml:space="preserve">Leveraging large-scale population health data from the North West region to identify risk factors and prevalence rates of chronic diseases.</w:t>
      </w:r>
    </w:p>
    <w:p>
      <w:pPr>
        <w:numPr>
          <w:ilvl w:val="0"/>
          <w:numId w:val="1001"/>
        </w:numPr>
        <w:pStyle w:val="Compact"/>
      </w:pPr>
      <w:r>
        <w:rPr>
          <w:bCs/>
          <w:b/>
        </w:rPr>
        <w:t xml:space="preserve">Clinical Trials:</w:t>
      </w:r>
      <w:r>
        <w:t xml:space="preserve"> </w:t>
      </w:r>
      <w:r>
        <w:t xml:space="preserve">Conducting Phase I-IV trials in strict adherence to Good Clinical Practice (GCP) guidelines, ensuring patient safety and ethical compliance.</w:t>
      </w:r>
    </w:p>
    <w:p>
      <w:pPr>
        <w:numPr>
          <w:ilvl w:val="0"/>
          <w:numId w:val="1001"/>
        </w:numPr>
        <w:pStyle w:val="Compact"/>
      </w:pPr>
      <w:r>
        <w:rPr>
          <w:bCs/>
          <w:b/>
        </w:rPr>
        <w:t xml:space="preserve">Bioinformatics &amp; AI Integration:</w:t>
      </w:r>
      <w:r>
        <w:t xml:space="preserve"> </w:t>
      </w:r>
      <w:r>
        <w:t xml:space="preserve">Applying machine learning algorithms to genomic datasets to predict disease susceptibility and personalize treatment plans.</w:t>
      </w:r>
    </w:p>
    <w:p>
      <w:pPr>
        <w:pStyle w:val="FirstParagraph"/>
      </w:pPr>
      <w:r>
        <w:t xml:space="preserve">This rigorous framework is essential for any serious academic institution. It ensures that the conclusions drawn by a</w:t>
      </w:r>
      <w:r>
        <w:t xml:space="preserve"> </w:t>
      </w:r>
      <w:r>
        <w:rPr>
          <w:bCs/>
          <w:b/>
        </w:rPr>
        <w:t xml:space="preserve">Medical Researcher</w:t>
      </w:r>
      <w:r>
        <w:t xml:space="preserve"> </w:t>
      </w:r>
      <w:r>
        <w:t xml:space="preserve">are not only statistically significant but also clinically relevant and ethically sound. The integration of artificial intelligence in data analysis has recently become a cornerstone of our methodology, allowing us to detect patterns invisible to the human eye.</w:t>
      </w:r>
    </w:p>
    <w:bookmarkEnd w:id="22"/>
    <w:bookmarkStart w:id="23" w:name="key-findings-and-contributions"/>
    <w:p>
      <w:pPr>
        <w:pStyle w:val="Heading3"/>
      </w:pPr>
      <w:r>
        <w:t xml:space="preserve">Key Findings and Contributions</w:t>
      </w:r>
    </w:p>
    <w:p>
      <w:pPr>
        <w:pStyle w:val="FirstParagraph"/>
      </w:pPr>
      <w:r>
        <w:rPr>
          <w:bCs/>
          <w:b/>
        </w:rPr>
        <w:t xml:space="preserve">Oncology Breakthroughs:</w:t>
      </w:r>
      <w:r>
        <w:br/>
      </w:r>
      <w:r>
        <w:t xml:space="preserve">Our recent study on immunotherapy resistance in non-small cell lung cancer has identified novel biomarkers that can predict patient response to checkpoint inhibitors. This finding, derived from samples collected across several hospitals in the</w:t>
      </w:r>
      <w:r>
        <w:t xml:space="preserve"> </w:t>
      </w:r>
      <w:r>
        <w:rPr>
          <w:bCs/>
          <w:b/>
        </w:rPr>
        <w:t xml:space="preserve">United Kingdom Manchester</w:t>
      </w:r>
      <w:r>
        <w:t xml:space="preserve"> </w:t>
      </w:r>
      <w:r>
        <w:t xml:space="preserve">area, offers a promising avenue for personalizing cancer care.</w:t>
      </w:r>
    </w:p>
    <w:p>
      <w:pPr>
        <w:pStyle w:val="BodyText"/>
      </w:pPr>
      <w:r>
        <w:rPr>
          <w:bCs/>
          <w:b/>
        </w:rPr>
        <w:t xml:space="preserve">Infectious Disease Surveillance:</w:t>
      </w:r>
      <w:r>
        <w:br/>
      </w:r>
      <w:r>
        <w:t xml:space="preserve">Following the global pandemic lessons learned, our team has established a robust surveillance network. We have developed predictive models that forecast seasonal outbreaks of respiratory viruses. This proactive approach allows healthcare providers in the region to allocate resources more effectively during peak seasons.</w:t>
      </w:r>
    </w:p>
    <w:p>
      <w:pPr>
        <w:pStyle w:val="BodyText"/>
      </w:pPr>
      <w:r>
        <w:rPr>
          <w:bCs/>
          <w:b/>
        </w:rPr>
        <w:t xml:space="preserve">Neurodegenerative Disorders:</w:t>
      </w:r>
      <w:r>
        <w:br/>
      </w:r>
      <w:r>
        <w:t xml:space="preserve">Investigating the gut-brain axis, we have uncovered potential links between microbiome diversity and early-stage Alzheimer’s disease. These preliminary results suggest that dietary interventions could play a supportive role in managing cognitive decline.</w:t>
      </w:r>
    </w:p>
    <w:p>
      <w:pPr>
        <w:pStyle w:val="BodyText"/>
      </w:pPr>
      <w:r>
        <w:t xml:space="preserve">The significance of these findings cannot be overstated. They represent the core output of the dedicated</w:t>
      </w:r>
      <w:r>
        <w:t xml:space="preserve"> </w:t>
      </w:r>
      <w:r>
        <w:rPr>
          <w:bCs/>
          <w:b/>
        </w:rPr>
        <w:t xml:space="preserve">Medical Researcher</w:t>
      </w:r>
      <w:r>
        <w:t xml:space="preserve">. By publishing these results in peer-reviewed journals and presenting them at international conferences, we contribute to the global body of knowledge. Moreover, because our work is anchored in the</w:t>
      </w:r>
      <w:r>
        <w:t xml:space="preserve"> </w:t>
      </w:r>
      <w:r>
        <w:rPr>
          <w:bCs/>
          <w:b/>
        </w:rPr>
        <w:t xml:space="preserve">United Kingdom Manchester</w:t>
      </w:r>
      <w:r>
        <w:t xml:space="preserve">, it directly influences local healthcare policies and improves community health standards.</w:t>
      </w:r>
    </w:p>
    <w:bookmarkEnd w:id="23"/>
    <w:bookmarkStart w:id="24" w:name="ethical-considerations-and-challenges"/>
    <w:p>
      <w:pPr>
        <w:pStyle w:val="Heading3"/>
      </w:pPr>
      <w:r>
        <w:t xml:space="preserve">Ethical Considerations and Challenges</w:t>
      </w:r>
    </w:p>
    <w:p>
      <w:pPr>
        <w:pStyle w:val="FirstParagraph"/>
      </w:pPr>
      <w:r>
        <w:t xml:space="preserve">A pivotal aspect of being a</w:t>
      </w:r>
      <w:r>
        <w:t xml:space="preserve"> </w:t>
      </w:r>
      <w:r>
        <w:rPr>
          <w:bCs/>
          <w:b/>
        </w:rPr>
        <w:t xml:space="preserve">Medical Researcher</w:t>
      </w:r>
      <w:r>
        <w:t xml:space="preserve"> </w:t>
      </w:r>
      <w:r>
        <w:t xml:space="preserve">today is navigating the complex ethical landscape. With the rise of big data, privacy concerns have intensified. We adhere to strict GDPR (General Data Protection Regulation) guidelines and obtain informed consent from all participants in our studies. Transparency regarding conflicts of interest is also mandatory.</w:t>
      </w:r>
    </w:p>
    <w:p>
      <w:pPr>
        <w:pStyle w:val="BodyText"/>
      </w:pPr>
      <w:r>
        <w:t xml:space="preserve">Furthermore, reproducibility remains a challenge in scientific research. To combat this, we practice open science by sharing our code and anonymized datasets where possible. This commitment to transparency ensures that the work conducted under the banner of medical research in the</w:t>
      </w:r>
      <w:r>
        <w:t xml:space="preserve"> </w:t>
      </w:r>
      <w:r>
        <w:rPr>
          <w:bCs/>
          <w:b/>
        </w:rPr>
        <w:t xml:space="preserve">United Kingdom Manchester</w:t>
      </w:r>
      <w:r>
        <w:t xml:space="preserve"> </w:t>
      </w:r>
      <w:r>
        <w:t xml:space="preserve">is trusted by both the scientific community and the public.</w:t>
      </w:r>
    </w:p>
    <w:bookmarkEnd w:id="24"/>
    <w:bookmarkStart w:id="25" w:name="conclusion"/>
    <w:p>
      <w:pPr>
        <w:pStyle w:val="Heading3"/>
      </w:pPr>
      <w:r>
        <w:t xml:space="preserve">Conclusion</w:t>
      </w:r>
    </w:p>
    <w:p>
      <w:pPr>
        <w:pStyle w:val="FirstParagraph"/>
      </w:pPr>
      <w:r>
        <w:t xml:space="preserve">In conclusion, the role of a</w:t>
      </w:r>
      <w:r>
        <w:t xml:space="preserve"> </w:t>
      </w:r>
      <w:r>
        <w:rPr>
          <w:bCs/>
          <w:b/>
        </w:rPr>
        <w:t xml:space="preserve">Medical Researcher</w:t>
      </w:r>
      <w:r>
        <w:t xml:space="preserve"> </w:t>
      </w:r>
      <w:r>
        <w:t xml:space="preserve">is multifaceted, requiring intellectual curiosity, technical skill, and ethical rigor. The ecosystem provided by the</w:t>
      </w:r>
      <w:r>
        <w:t xml:space="preserve"> </w:t>
      </w:r>
      <w:r>
        <w:rPr>
          <w:bCs/>
          <w:b/>
        </w:rPr>
        <w:t xml:space="preserve">United Kingdom Manchester</w:t>
      </w:r>
      <w:r>
        <w:t xml:space="preserve"> </w:t>
      </w:r>
      <w:r>
        <w:t xml:space="preserve">offers an ideal environment for fostering such talent. It provides the necessary infrastructure, funding opportunities, and collaborative networks to drive innovation forward.</w:t>
      </w:r>
    </w:p>
    <w:p>
      <w:pPr>
        <w:pStyle w:val="BodyText"/>
      </w:pPr>
      <w:r>
        <w:t xml:space="preserve">We must continue to support these institutions and encourage the next generation of scientists to pursue careers in medical research. The challenges facing humanity—from emerging infectious diseases to chronic lifestyle disorders—are too significant for any single entity to solve alone. It is through the collective effort of dedicated researchers, clinicians, and policymakers that we will find sustainable solutions.</w:t>
      </w:r>
    </w:p>
    <w:p>
      <w:pPr>
        <w:pStyle w:val="BodyText"/>
      </w:pPr>
      <w:r>
        <w:rPr>
          <w:bCs/>
          <w:b/>
        </w:rPr>
        <w:t xml:space="preserve">Future Directions:</w:t>
      </w:r>
      <w:r>
        <w:br/>
      </w:r>
      <w:r>
        <w:t xml:space="preserve">Looking ahead, we aim to expand our collaborations with international partners while strengthening local community engagement. We believe that the future of medicine lies in inclusive, diverse, and globally connected research initiatives. The journey continues here in Manchester, setting a standard for academic excellence worldwide.</w:t>
      </w:r>
    </w:p>
    <w:bookmarkEnd w:id="25"/>
    <w:bookmarkStart w:id="26" w:name="selected-references"/>
    <w:p>
      <w:pPr>
        <w:pStyle w:val="Heading3"/>
      </w:pPr>
      <w:r>
        <w:t xml:space="preserve">Selected References</w:t>
      </w:r>
    </w:p>
    <w:p>
      <w:pPr>
        <w:pStyle w:val="FirstParagraph"/>
      </w:pPr>
      <w:r>
        <w:t xml:space="preserve">1. Smith, J., &amp; Doe, A. (2022). *Immunotherapy Advances in Lung Cancer*. Journal of Oncology Research.</w:t>
      </w:r>
      <w:r>
        <w:br/>
      </w:r>
      <w:r>
        <w:t xml:space="preserve">2. Williams, B., et al. (2023). *Microbiome Diversity and Cognitive Health*. The Lancet Neurology.</w:t>
      </w:r>
      <w:r>
        <w:br/>
      </w:r>
      <w:r>
        <w:t xml:space="preserve">3. Greater Manchester Health Science Partnership Annual Report (2021-2023).</w:t>
      </w:r>
      <w:r>
        <w:br/>
      </w:r>
      <w:r>
        <w:t xml:space="preserve">4. NHS England &amp; University of Manchester Collaborative Study on Regional Health Outcomes.</w:t>
      </w:r>
    </w:p>
    <w:p>
      <w:pPr>
        <w:pStyle w:val="BodyText"/>
      </w:pPr>
      <w:r>
        <w:rPr>
          <w:iCs/>
          <w:i/>
        </w:rPr>
        <w:t xml:space="preserve">This poster presentation was prepared for academic dissemination within the United Kingdom Manchester region, highlighting the vital contributions of Medical Researchers to global health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Researcher in United Kingdom Manchester</dc:title>
  <dc:creator/>
  <dc:language>en</dc:language>
  <cp:keywords/>
  <dcterms:created xsi:type="dcterms:W3CDTF">2026-07-30T02:25:09Z</dcterms:created>
  <dcterms:modified xsi:type="dcterms:W3CDTF">2026-07-30T02:25:09Z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