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Healthcare</w:t>
      </w:r>
      <w:r>
        <w:t xml:space="preserve"> </w:t>
      </w:r>
      <w:r>
        <w:t xml:space="preserve">in</w:t>
      </w:r>
      <w:r>
        <w:t xml:space="preserve"> </w:t>
      </w:r>
      <w:r>
        <w:t xml:space="preserve">the</w:t>
      </w:r>
      <w:r>
        <w:t xml:space="preserve"> </w:t>
      </w:r>
      <w:r>
        <w:t xml:space="preserve">Midwest</w:t>
      </w:r>
    </w:p>
    <w:bookmarkStart w:id="31" w:name="X17ecb2cadd4e622ce863f3ac6ef05e98af9eb4b"/>
    <w:p>
      <w:pPr>
        <w:pStyle w:val="Heading1"/>
      </w:pPr>
      <w:r>
        <w:t xml:space="preserve">Evaluating the Efficacy of Telehealth Interventions in Chronic Disease Management Among Urban Populations</w:t>
      </w:r>
    </w:p>
    <w:p>
      <w:pPr>
        <w:pStyle w:val="FirstParagraph"/>
      </w:pPr>
      <w:r>
        <w:rPr>
          <w:bCs/>
          <w:b/>
        </w:rPr>
        <w:t xml:space="preserve">Dr. Eleanor Vance, MD, PhD</w:t>
      </w:r>
      <w:r>
        <w:br/>
      </w:r>
      <w:r>
        <w:t xml:space="preserve">Principal Medical Researcher</w:t>
      </w:r>
      <w:r>
        <w:br/>
      </w:r>
      <w:r>
        <w:t xml:space="preserve">Department of Internal Medicine &amp; Health Informatics</w:t>
      </w:r>
      <w:r>
        <w:br/>
      </w:r>
    </w:p>
    <w:bookmarkStart w:id="20" w:name="abstract"/>
    <w:p>
      <w:pPr>
        <w:pStyle w:val="Heading2"/>
      </w:pPr>
      <w:r>
        <w:t xml:space="preserve">Abstract</w:t>
      </w:r>
    </w:p>
    <w:p>
      <w:pPr>
        <w:pStyle w:val="FirstParagraph"/>
      </w:pPr>
      <w:r>
        <w:t xml:space="preserve">In recent years, the integration of telehealth technologies has transformed healthcare delivery models. This study investigates the impact of structured telehealth interventions on patient adherence, clinical outcomes, and socioeconomic factors among individuals with chronic diseases in urban settings. Focusing specifically on data collected from residents within major metropolitan hubs in the</w:t>
      </w:r>
      <w:r>
        <w:t xml:space="preserve"> </w:t>
      </w:r>
      <w:r>
        <w:rPr>
          <w:bCs/>
          <w:b/>
        </w:rPr>
        <w:t xml:space="preserve">United States Chicago</w:t>
      </w:r>
      <w:r>
        <w:t xml:space="preserve"> </w:t>
      </w:r>
      <w:r>
        <w:t xml:space="preserve">area, this research aims to provide evidence-based recommendations for optimizing remote care frameworks. The findings suggest significant improvements in glycemic control and blood pressure regulation when telehealth is combined with traditional primary care visits.</w:t>
      </w:r>
    </w:p>
    <w:bookmarkEnd w:id="20"/>
    <w:bookmarkStart w:id="21" w:name="introduction"/>
    <w:p>
      <w:pPr>
        <w:pStyle w:val="Heading2"/>
      </w:pPr>
      <w:r>
        <w:t xml:space="preserve">Introduction</w:t>
      </w:r>
    </w:p>
    <w:p>
      <w:pPr>
        <w:pStyle w:val="FirstParagraph"/>
      </w:pPr>
      <w:r>
        <w:t xml:space="preserve">The landscape of modern medicine is undergoing a paradigm shift driven by digital innovation. As a dedicated</w:t>
      </w:r>
      <w:r>
        <w:t xml:space="preserve"> </w:t>
      </w:r>
      <w:r>
        <w:rPr>
          <w:bCs/>
          <w:b/>
        </w:rPr>
        <w:t xml:space="preserve">Medical Researcher</w:t>
      </w:r>
      <w:r>
        <w:t xml:space="preserve">, my primary objective has been to bridge the gap between technological potential and practical clinical application. The focus of this academic inquiry lies in understanding how remote monitoring and virtual consultations can alleviate the burden on healthcare systems while improving patient quality of life. This is particularly relevant for dense urban centers like</w:t>
      </w:r>
      <w:r>
        <w:t xml:space="preserve"> </w:t>
      </w:r>
      <w:r>
        <w:rPr>
          <w:bCs/>
          <w:b/>
        </w:rPr>
        <w:t xml:space="preserve">United States Chicago</w:t>
      </w:r>
      <w:r>
        <w:t xml:space="preserve">, where high population density correlates with increased strain on emergency services and primary care infrastructure.</w:t>
      </w:r>
    </w:p>
    <w:p>
      <w:pPr>
        <w:pStyle w:val="BodyText"/>
      </w:pPr>
      <w:r>
        <w:t xml:space="preserve">Chronic conditions such as diabetes, hypertension, and congestive heart failure require continuous management. Traditional models often rely on frequent in-person visits, which can be logistically challenging for working adults or those with mobility issues. By leveraging telehealth platforms, we aim to create a hybrid care model that is both efficient and accessible.</w:t>
      </w:r>
    </w:p>
    <w:bookmarkEnd w:id="21"/>
    <w:bookmarkStart w:id="24" w:name="methodology"/>
    <w:p>
      <w:pPr>
        <w:pStyle w:val="Heading2"/>
      </w:pPr>
      <w:r>
        <w:t xml:space="preserve">Methodology</w:t>
      </w:r>
    </w:p>
    <w:p>
      <w:pPr>
        <w:pStyle w:val="FirstParagraph"/>
      </w:pPr>
      <w:r>
        <w:t xml:space="preserve">This longitudinal study employed a mixed-methods approach, combining quantitative clinical data with qualitative patient feedback. The research was conducted over a twenty-four-month period involving 1,500 participants recruited from community clinics and hospital networks in the greater Chicago area.</w:t>
      </w:r>
    </w:p>
    <w:bookmarkStart w:id="22" w:name="participant-selection"/>
    <w:p>
      <w:pPr>
        <w:pStyle w:val="Heading3"/>
      </w:pPr>
      <w:r>
        <w:t xml:space="preserve">Participant Selection</w:t>
      </w:r>
    </w:p>
    <w:p>
      <w:pPr>
        <w:pStyle w:val="FirstParagraph"/>
      </w:pPr>
      <w:r>
        <w:t xml:space="preserve">Participants were stratified into two groups: an intervention group receiving comprehensive telehealth support (weekly virtual check-ins, remote monitoring devices) and a control group receiving standard of care. Inclusion criteria required a diagnosis of type 2 diabetes or hypertension for at least one year prior to enrollment.</w:t>
      </w:r>
    </w:p>
    <w:bookmarkEnd w:id="22"/>
    <w:bookmarkStart w:id="23" w:name="data-collection-tools"/>
    <w:p>
      <w:pPr>
        <w:pStyle w:val="Heading3"/>
      </w:pPr>
      <w:r>
        <w:t xml:space="preserve">Data Collection Tools</w:t>
      </w:r>
    </w:p>
    <w:p>
      <w:pPr>
        <w:numPr>
          <w:ilvl w:val="0"/>
          <w:numId w:val="1001"/>
        </w:numPr>
        <w:pStyle w:val="Compact"/>
      </w:pPr>
      <w:r>
        <w:rPr>
          <w:bCs/>
          <w:b/>
        </w:rPr>
        <w:t xml:space="preserve">Clinical Metrics:</w:t>
      </w:r>
      <w:r>
        <w:t xml:space="preserve"> </w:t>
      </w:r>
      <w:r>
        <w:t xml:space="preserve">Hemoglobin A1c levels, systolic and diastolic blood pressure readings, and medication adherence rates were tracked monthly via integrated health databases.</w:t>
      </w:r>
    </w:p>
    <w:p>
      <w:pPr>
        <w:numPr>
          <w:ilvl w:val="0"/>
          <w:numId w:val="1001"/>
        </w:numPr>
        <w:pStyle w:val="Compact"/>
      </w:pPr>
      <w:r>
        <w:rPr>
          <w:bCs/>
          <w:b/>
        </w:rPr>
        <w:t xml:space="preserve">Patient-Reported Outcomes:</w:t>
      </w:r>
      <w:r>
        <w:t xml:space="preserve"> </w:t>
      </w:r>
      <w:r>
        <w:t xml:space="preserve">Surveys assessing quality of life, anxiety levels related to health management, and satisfaction with care delivery were administered quarterly.</w:t>
      </w:r>
    </w:p>
    <w:p>
      <w:pPr>
        <w:numPr>
          <w:ilvl w:val="0"/>
          <w:numId w:val="1001"/>
        </w:numPr>
        <w:pStyle w:val="Compact"/>
      </w:pPr>
      <w:r>
        <w:rPr>
          <w:bCs/>
          <w:b/>
        </w:rPr>
        <w:t xml:space="preserve">Economic Analysis:</w:t>
      </w:r>
      <w:r>
        <w:t xml:space="preserve"> </w:t>
      </w:r>
      <w:r>
        <w:t xml:space="preserve">Healthcare utilization costs, including emergency room visits and hospitalizations, were analyzed from insurance claims data.</w:t>
      </w:r>
    </w:p>
    <w:bookmarkEnd w:id="23"/>
    <w:bookmarkEnd w:id="24"/>
    <w:bookmarkStart w:id="25" w:name="results"/>
    <w:p>
      <w:pPr>
        <w:pStyle w:val="Heading2"/>
      </w:pPr>
      <w:r>
        <w:t xml:space="preserve">Results</w:t>
      </w:r>
    </w:p>
    <w:p>
      <w:pPr>
        <w:pStyle w:val="FirstParagraph"/>
      </w:pPr>
      <w:r>
        <w:t xml:space="preserve">The data analysis revealed statistically significant differences between the intervention and control groups across several key performance indicators. Participants in the telehealth arm demonstrated a 15% greater reduction in average A1c levels compared to the control group over a twelve-month period.</w:t>
      </w:r>
    </w:p>
    <w:p>
      <w:pPr>
        <w:pStyle w:val="BodyText"/>
      </w:pPr>
      <w:r>
        <w:rPr>
          <w:bCs/>
          <w:b/>
        </w:rPr>
        <w:t xml:space="preserve">Key Finding:</w:t>
      </w:r>
      <w:r>
        <w:t xml:space="preserve"> </w:t>
      </w:r>
      <w:r>
        <w:t xml:space="preserve">There was a 20% decrease in non-urgent emergency department visits among the telehealth cohort, suggesting that proactive remote monitoring effectively mitigates acute exacerbations of chronic conditions.</w:t>
      </w:r>
    </w:p>
    <w:p>
      <w:pPr>
        <w:pStyle w:val="BodyText"/>
      </w:pPr>
      <w:r>
        <w:t xml:space="preserve">Furthermore, qualitative analysis indicated high satisfaction rates regarding accessibility. Patients appreciated the reduced travel time and costs associated with commuting to medical centers in downtown</w:t>
      </w:r>
      <w:r>
        <w:t xml:space="preserve"> </w:t>
      </w:r>
      <w:r>
        <w:rPr>
          <w:bCs/>
          <w:b/>
        </w:rPr>
        <w:t xml:space="preserve">United States Chicago</w:t>
      </w:r>
      <w:r>
        <w:t xml:space="preserve">. However, disparities were noted in digital literacy among older adult populations, highlighting a need for targeted technical support services.</w:t>
      </w:r>
    </w:p>
    <w:bookmarkEnd w:id="25"/>
    <w:bookmarkStart w:id="28" w:name="discussion"/>
    <w:p>
      <w:pPr>
        <w:pStyle w:val="Heading2"/>
      </w:pPr>
      <w:r>
        <w:t xml:space="preserve">Discussion</w:t>
      </w:r>
    </w:p>
    <w:p>
      <w:pPr>
        <w:pStyle w:val="FirstParagraph"/>
      </w:pPr>
      <w:r>
        <w:t xml:space="preserve">These findings underscore the transformative potential of telehealth as a supplementary tool in chronic disease management. For any</w:t>
      </w:r>
      <w:r>
        <w:t xml:space="preserve"> </w:t>
      </w:r>
      <w:r>
        <w:rPr>
          <w:bCs/>
          <w:b/>
        </w:rPr>
        <w:t xml:space="preserve">Medical Researcher</w:t>
      </w:r>
      <w:r>
        <w:t xml:space="preserve">, interpreting these results requires acknowledging the unique urban dynamics of cities like Chicago. The availability of high-speed internet is generally widespread, yet "digital deserts" still exist in certain socioeconomic neighborhoods.</w:t>
      </w:r>
    </w:p>
    <w:bookmarkStart w:id="26" w:name="implications-for-policy-and-practice"/>
    <w:p>
      <w:pPr>
        <w:pStyle w:val="Heading3"/>
      </w:pPr>
      <w:r>
        <w:t xml:space="preserve">Implications for Policy and Practice</w:t>
      </w:r>
    </w:p>
    <w:p>
      <w:pPr>
        <w:pStyle w:val="FirstParagraph"/>
      </w:pPr>
      <w:r>
        <w:t xml:space="preserve">The success of this model suggests that healthcare administrators in urban centers should invest not only in software infrastructure but also in community outreach programs designed to teach digital navigation skills. Insurance reimbursement policies must evolve to support these hybrid models, ensuring financial sustainability for providers who adopt innovative care pathways.</w:t>
      </w:r>
    </w:p>
    <w:bookmarkEnd w:id="26"/>
    <w:bookmarkStart w:id="27" w:name="limitations"/>
    <w:p>
      <w:pPr>
        <w:pStyle w:val="Heading3"/>
      </w:pPr>
      <w:r>
        <w:t xml:space="preserve">Limitations</w:t>
      </w:r>
    </w:p>
    <w:p>
      <w:pPr>
        <w:pStyle w:val="FirstParagraph"/>
      </w:pPr>
      <w:r>
        <w:t xml:space="preserve">While the study was robust, it is limited by its geographic scope. Results may vary in rural settings where broadband access is inconsistent. Additionally, self-reported data on lifestyle changes introduces potential bias.</w:t>
      </w:r>
    </w:p>
    <w:bookmarkEnd w:id="27"/>
    <w:bookmarkEnd w:id="28"/>
    <w:bookmarkStart w:id="29" w:name="conclusion"/>
    <w:p>
      <w:pPr>
        <w:pStyle w:val="Heading2"/>
      </w:pPr>
      <w:r>
        <w:t xml:space="preserve">Conclusion</w:t>
      </w:r>
    </w:p>
    <w:p>
      <w:pPr>
        <w:pStyle w:val="FirstParagraph"/>
      </w:pPr>
      <w:r>
        <w:t xml:space="preserve">In conclusion, this poster presentation highlights the critical role of telehealth in enhancing chronic care management within urban environments. By integrating remote monitoring with traditional medical oversight, we can achieve better health outcomes and reduce systemic costs. As a</w:t>
      </w:r>
      <w:r>
        <w:t xml:space="preserve"> </w:t>
      </w:r>
      <w:r>
        <w:rPr>
          <w:bCs/>
          <w:b/>
        </w:rPr>
        <w:t xml:space="preserve">Medical Researcher</w:t>
      </w:r>
      <w:r>
        <w:t xml:space="preserve">, I advocate for further multi-center studies to validate these findings across diverse demographic groups. The specific context of</w:t>
      </w:r>
      <w:r>
        <w:t xml:space="preserve"> </w:t>
      </w:r>
      <w:r>
        <w:rPr>
          <w:bCs/>
          <w:b/>
        </w:rPr>
        <w:t xml:space="preserve">United States Chicago</w:t>
      </w:r>
      <w:r>
        <w:t xml:space="preserve"> </w:t>
      </w:r>
      <w:r>
        <w:t xml:space="preserve">serves as a compelling case study for other major metropolitan areas facing similar healthcare challenges.</w:t>
      </w:r>
    </w:p>
    <w:bookmarkEnd w:id="29"/>
    <w:bookmarkStart w:id="30" w:name="contact-collaboration"/>
    <w:p>
      <w:pPr>
        <w:pStyle w:val="Heading2"/>
      </w:pPr>
      <w:r>
        <w:t xml:space="preserve">Contact &amp; Collaboration</w:t>
      </w:r>
    </w:p>
    <w:p>
      <w:pPr>
        <w:pStyle w:val="FirstParagraph"/>
      </w:pPr>
      <w:r>
        <w:t xml:space="preserve">I invite fellow academics, clinicians, and policymakers to discuss these findings. We are currently seeking partnerships for Phase II of this research, which will expand into rural communities in Illinois.</w:t>
      </w:r>
    </w:p>
    <w:p>
      <w:pPr>
        <w:pStyle w:val="BodyText"/>
      </w:pPr>
      <w:r>
        <w:rPr>
          <w:bCs/>
          <w:b/>
        </w:rPr>
        <w:t xml:space="preserve">Dr. Eleanor Vance</w:t>
      </w:r>
      <w:r>
        <w:br/>
      </w:r>
      <w:r>
        <w:t xml:space="preserve">Email: e.vance@researchinstitute.edu</w:t>
      </w:r>
      <w:r>
        <w:br/>
      </w:r>
      <w:r>
        <w:t xml:space="preserve">Presentation Location: Chicago Convention Center, Hall B</w:t>
      </w:r>
      <w:r>
        <w:br/>
      </w:r>
      <w:r>
        <w:t xml:space="preserve">Event: Annual Medical Science Symposium, United States Chicago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Healthcare in the Midwest</dc:title>
  <dc:creator/>
  <dc:language>en</dc:language>
  <cp:keywords/>
  <dcterms:created xsi:type="dcterms:W3CDTF">2026-07-30T07:12:13Z</dcterms:created>
  <dcterms:modified xsi:type="dcterms:W3CDTF">2026-07-30T07:12:13Z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