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Uzbekistan</w:t>
      </w:r>
      <w:r>
        <w:t xml:space="preserve"> </w:t>
      </w:r>
      <w:r>
        <w:t xml:space="preserve">Tashkent</w:t>
      </w:r>
    </w:p>
    <w:bookmarkStart w:id="20" w:name="X190e2faf5ad2004a7607b7a49c90d9a8f08d752"/>
    <w:p>
      <w:pPr>
        <w:pStyle w:val="Heading1"/>
      </w:pPr>
      <w:r>
        <w:t xml:space="preserve">Bridging Borders in Healthcare: The Evolution of the Medical Researcher Role in Central Asia</w:t>
      </w:r>
    </w:p>
    <w:p>
      <w:pPr>
        <w:pStyle w:val="FirstParagraph"/>
      </w:pPr>
      <w:r>
        <w:t xml:space="preserve">A Focus on Epidemiological Shifts and Digital Integration in Uzbekistan Tashkent</w:t>
      </w:r>
    </w:p>
    <w:bookmarkEnd w:id="20"/>
    <w:p>
      <w:pPr>
        <w:pStyle w:val="BodyText"/>
      </w:pPr>
      <w:r>
        <w:t xml:space="preserve">Dr. Alisher Karimov, MD, PhD</w:t>
      </w:r>
      <w:r>
        <w:t xml:space="preserve"> </w:t>
      </w:r>
      <w:r>
        <w:t xml:space="preserve">|</w:t>
      </w:r>
      <w:r>
        <w:t xml:space="preserve"> </w:t>
      </w:r>
      <w:r>
        <w:t xml:space="preserve">Department of Public Health &amp; Epidemiology</w:t>
      </w:r>
      <w:r>
        <w:br/>
      </w:r>
      <w:r>
        <w:t xml:space="preserve">Tashkent Medical Academy / Ministry of Health Sciences, Uzbekistan Tashkent</w:t>
      </w:r>
      <w:r>
        <w:br/>
      </w:r>
      <w:r>
        <w:t xml:space="preserve">Contact: a.karimov@tmedacademy.uz | ORCID: 000-000-1234-5678</w:t>
      </w:r>
    </w:p>
    <w:bookmarkStart w:id="21" w:name="abstract"/>
    <w:p>
      <w:pPr>
        <w:pStyle w:val="Heading3"/>
      </w:pPr>
      <w:r>
        <w:t xml:space="preserve">Abstract</w:t>
      </w:r>
    </w:p>
    <w:p>
      <w:pPr>
        <w:pStyle w:val="FirstParagraph"/>
      </w:pPr>
      <w:r>
        <w:t xml:space="preserve">The landscape of healthcare in Uzbekistan is undergoing a rapid transformation, driven by government initiatives to modernize infrastructure and integrate international standards. This poster presentation highlights the pivotal role of the Medical Researcher within this ecosystem, specifically focusing on activities in</w:t>
      </w:r>
      <w:r>
        <w:t xml:space="preserve"> </w:t>
      </w:r>
      <w:r>
        <w:rPr>
          <w:bCs/>
          <w:b/>
        </w:rPr>
        <w:t xml:space="preserve">Uzbekistan Tashkent</w:t>
      </w:r>
      <w:r>
        <w:t xml:space="preserve">. We analyze current data regarding non-communicable diseases (NCDs), the integration of artificial intelligence in diagnostic processes, and cross-border collaboration with European medical institutes. The findings suggest that strategic investment in research methodologies tailored to the local demographic can significantly reduce morbidity rates by 2035. This study underscores the necessity for a specialized</w:t>
      </w:r>
      <w:r>
        <w:t xml:space="preserve"> </w:t>
      </w:r>
      <w:r>
        <w:rPr>
          <w:bCs/>
          <w:b/>
        </w:rPr>
        <w:t xml:space="preserve">Medical Researcher</w:t>
      </w:r>
      <w:r>
        <w:t xml:space="preserve"> </w:t>
      </w:r>
      <w:r>
        <w:t xml:space="preserve">workforce capable of navigating both traditional epidemiological methods and modern computational biology, ensuring sustainable health outcomes in</w:t>
      </w:r>
      <w:r>
        <w:t xml:space="preserve"> </w:t>
      </w:r>
      <w:r>
        <w:rPr>
          <w:bCs/>
          <w:b/>
        </w:rPr>
        <w:t xml:space="preserve">Uzbekistan Tashkent</w:t>
      </w:r>
      <w:r>
        <w:t xml:space="preserve">.</w:t>
      </w:r>
    </w:p>
    <w:bookmarkEnd w:id="21"/>
    <w:bookmarkStart w:id="22" w:name="introduction-context"/>
    <w:p>
      <w:pPr>
        <w:pStyle w:val="Heading3"/>
      </w:pPr>
      <w:r>
        <w:t xml:space="preserve">1. Introduction &amp; Context</w:t>
      </w:r>
    </w:p>
    <w:p>
      <w:pPr>
        <w:pStyle w:val="FirstParagraph"/>
      </w:pPr>
      <w:r>
        <w:t xml:space="preserve">As the capital city,</w:t>
      </w:r>
      <w:r>
        <w:t xml:space="preserve"> </w:t>
      </w:r>
      <w:r>
        <w:rPr>
          <w:bCs/>
          <w:b/>
        </w:rPr>
        <w:t xml:space="preserve">Tashkent, Uzbekistan Tashkent</w:t>
      </w:r>
      <w:r>
        <w:t xml:space="preserve">, serves as the primary hub for scientific innovation in the region. Historically, post-Soviet medical systems relied heavily on reactive care models. However, recent policy shifts have mandated a proactive approach centered on preventive medicine and rigorous data analysis. The role of the</w:t>
      </w:r>
      <w:r>
        <w:t xml:space="preserve"> </w:t>
      </w:r>
      <w:r>
        <w:rPr>
          <w:bCs/>
          <w:b/>
        </w:rPr>
        <w:t xml:space="preserve">Medical Researcher</w:t>
      </w:r>
      <w:r>
        <w:t xml:space="preserve"> </w:t>
      </w:r>
      <w:r>
        <w:t xml:space="preserve">has evolved from pure laboratory analysis to becoming a strategic partner in healthcare policy formulation. This presentation aims to define the competencies required for modern researchers operating in this specific geopolitical and epidemiological context, highlighting how local challenges dictate global research relevance.</w:t>
      </w:r>
    </w:p>
    <w:bookmarkEnd w:id="22"/>
    <w:bookmarkStart w:id="23" w:name="methodology"/>
    <w:p>
      <w:pPr>
        <w:pStyle w:val="Heading3"/>
      </w:pPr>
      <w:r>
        <w:t xml:space="preserve">2. Methodology</w:t>
      </w:r>
    </w:p>
    <w:p>
      <w:pPr>
        <w:pStyle w:val="FirstParagraph"/>
      </w:pPr>
      <w:r>
        <w:t xml:space="preserve">Our team conducted a mixed-methods study involving quantitative data analysis from hospital records across five major districts of</w:t>
      </w:r>
      <w:r>
        <w:t xml:space="preserve"> </w:t>
      </w:r>
      <w:r>
        <w:rPr>
          <w:bCs/>
          <w:b/>
        </w:rPr>
        <w:t xml:space="preserve">Tashkent</w:t>
      </w:r>
      <w:r>
        <w:t xml:space="preserve">. Qualitative interviews were conducted with 50 senior healthcare administrators and 100 practicing physicians to assess the perceived efficacy of current research implementations. The timeframe for data collection spanned from January 2021 to December 2023. Key variables included patient wait times, diagnostic accuracy rates, and the adoption rate of telemedicine platforms initiated by local</w:t>
      </w:r>
      <w:r>
        <w:t xml:space="preserve"> </w:t>
      </w:r>
      <w:r>
        <w:rPr>
          <w:bCs/>
          <w:b/>
        </w:rPr>
        <w:t xml:space="preserve">Medical Researcher</w:t>
      </w:r>
      <w:r>
        <w:t xml:space="preserve"> </w:t>
      </w:r>
      <w:r>
        <w:t xml:space="preserve">teams.</w:t>
      </w:r>
    </w:p>
    <w:bookmarkEnd w:id="23"/>
    <w:bookmarkStart w:id="24" w:name="results-epidemiological-trends"/>
    <w:p>
      <w:pPr>
        <w:pStyle w:val="Heading3"/>
      </w:pPr>
      <w:r>
        <w:t xml:space="preserve">3. Results: Epidemiological Trends</w:t>
      </w:r>
    </w:p>
    <w:p>
      <w:pPr>
        <w:pStyle w:val="FirstParagraph"/>
      </w:pPr>
      <w:r>
        <w:t xml:space="preserve">Data indicates a significant rise in cardiovascular diseases and type 2 diabetes among urban populations in</w:t>
      </w:r>
      <w:r>
        <w:t xml:space="preserve"> </w:t>
      </w:r>
      <w:r>
        <w:rPr>
          <w:bCs/>
          <w:b/>
        </w:rPr>
        <w:t xml:space="preserve">Tashkent, Uzbekistan Tashkent</w:t>
      </w:r>
      <w:r>
        <w:t xml:space="preserve">. Specifically, there has been a 15% increase in hypertension diagnoses over the last three years. However, our research identified a correlation between early screening programs led by dedicated</w:t>
      </w:r>
      <w:r>
        <w:t xml:space="preserve"> </w:t>
      </w:r>
      <w:r>
        <w:rPr>
          <w:bCs/>
          <w:b/>
        </w:rPr>
        <w:t xml:space="preserve">Medical Researcher</w:t>
      </w:r>
      <w:r>
        <w:t xml:space="preserve"> </w:t>
      </w:r>
      <w:r>
        <w:t xml:space="preserve">outreach teams and a decrease in late-stage complications. The implementation of community-based data collection allowed for real-time monitoring of disease clusters, demonstrating the value of agile research frameworks in dense urban environments.</w:t>
      </w:r>
    </w:p>
    <w:p>
      <w:pPr>
        <w:pStyle w:val="BodyText"/>
      </w:pPr>
      <w:r>
        <w:t xml:space="preserve">[Figure 1: Graph showing rise in NCDs vs. Implementation of Research Protocols]</w:t>
      </w:r>
    </w:p>
    <w:bookmarkEnd w:id="24"/>
    <w:bookmarkStart w:id="25" w:name="digital-integration-innovation"/>
    <w:p>
      <w:pPr>
        <w:pStyle w:val="Heading3"/>
      </w:pPr>
      <w:r>
        <w:t xml:space="preserve">4. Digital Integration &amp; Innovation</w:t>
      </w:r>
    </w:p>
    <w:p>
      <w:pPr>
        <w:pStyle w:val="FirstParagraph"/>
      </w:pPr>
      <w:r>
        <w:t xml:space="preserve">A critical finding in our study is the potential for artificial intelligence to augment human diagnostic capabilities. In collaboration with tech hubs in</w:t>
      </w:r>
      <w:r>
        <w:t xml:space="preserve"> </w:t>
      </w:r>
      <w:r>
        <w:rPr>
          <w:bCs/>
          <w:b/>
        </w:rPr>
        <w:t xml:space="preserve">Tashkent</w:t>
      </w:r>
      <w:r>
        <w:t xml:space="preserve">, we piloted an AI-driven algorithm for detecting early signs of retinopathy and diabetic foot complications. The</w:t>
      </w:r>
      <w:r>
        <w:t xml:space="preserve"> </w:t>
      </w:r>
      <w:r>
        <w:rPr>
          <w:bCs/>
          <w:b/>
        </w:rPr>
        <w:t xml:space="preserve">Medical Researcher</w:t>
      </w:r>
      <w:r>
        <w:t xml:space="preserve"> </w:t>
      </w:r>
      <w:r>
        <w:t xml:space="preserve">played a crucial role in training this model using anonymized patient data from local clinics. Initial results show a 92% accuracy rate, surpassing manual screening methods. This integration highlights the synergy between clinical practice and computational research, positioning</w:t>
      </w:r>
      <w:r>
        <w:t xml:space="preserve"> </w:t>
      </w:r>
      <w:r>
        <w:rPr>
          <w:bCs/>
          <w:b/>
        </w:rPr>
        <w:t xml:space="preserve">Uzbekistan Tashkent</w:t>
      </w:r>
      <w:r>
        <w:t xml:space="preserve"> </w:t>
      </w:r>
      <w:r>
        <w:t xml:space="preserve">as an emerging leader in digital health solutions within Central Asia.</w:t>
      </w:r>
    </w:p>
    <w:bookmarkEnd w:id="25"/>
    <w:bookmarkStart w:id="26" w:name="international-collaboration"/>
    <w:p>
      <w:pPr>
        <w:pStyle w:val="Heading3"/>
      </w:pPr>
      <w:r>
        <w:t xml:space="preserve">5. International Collaboration</w:t>
      </w:r>
    </w:p>
    <w:p>
      <w:pPr>
        <w:pStyle w:val="FirstParagraph"/>
      </w:pPr>
      <w:r>
        <w:t xml:space="preserve">Isolationism is no longer viable in modern medicine. Our poster outlines successful partnerships with medical universities in Germany and South Korea, facilitated through the Ministry of Higher Education, Science and Innovation of Uzbekistan. These collaborations have allowed local</w:t>
      </w:r>
      <w:r>
        <w:t xml:space="preserve"> </w:t>
      </w:r>
      <w:r>
        <w:rPr>
          <w:bCs/>
          <w:b/>
        </w:rPr>
        <w:t xml:space="preserve">Medical Researcher</w:t>
      </w:r>
      <w:r>
        <w:t xml:space="preserve"> </w:t>
      </w:r>
      <w:r>
        <w:t xml:space="preserve">professionals to access advanced genomic sequencing technologies previously unavailable in the region. Joint publications on genetic predispositions specific to Central Asian populations are now being published in high-impact journals, enhancing the global visibility of research conducted in</w:t>
      </w:r>
      <w:r>
        <w:t xml:space="preserve"> </w:t>
      </w:r>
      <w:r>
        <w:rPr>
          <w:bCs/>
          <w:b/>
        </w:rPr>
        <w:t xml:space="preserve">Tashkent, Uzbekistan Tashkent</w:t>
      </w:r>
      <w:r>
        <w:t xml:space="preserve">.</w:t>
      </w:r>
    </w:p>
    <w:p>
      <w:pPr>
        <w:pStyle w:val="BodyText"/>
      </w:pPr>
      <w:r>
        <w:t xml:space="preserve">[Figure 2: Map of International Partnership Networks centered on Tashkent]</w:t>
      </w:r>
    </w:p>
    <w:bookmarkEnd w:id="26"/>
    <w:bookmarkStart w:id="27" w:name="challenges-and-future-directions"/>
    <w:p>
      <w:pPr>
        <w:pStyle w:val="Heading3"/>
      </w:pPr>
      <w:r>
        <w:t xml:space="preserve">6. Challenges and Future Directions</w:t>
      </w:r>
    </w:p>
    <w:p>
      <w:pPr>
        <w:pStyle w:val="FirstParagraph"/>
      </w:pPr>
      <w:r>
        <w:t xml:space="preserve">Despite progress, challenges remain. These include the need for sustained funding cycles, ethical oversight in data privacy, and continuous professional development for researchers. The future of the</w:t>
      </w:r>
      <w:r>
        <w:t xml:space="preserve"> </w:t>
      </w:r>
      <w:r>
        <w:rPr>
          <w:bCs/>
          <w:b/>
        </w:rPr>
        <w:t xml:space="preserve">Medical Researcher</w:t>
      </w:r>
      <w:r>
        <w:t xml:space="preserve"> </w:t>
      </w:r>
      <w:r>
        <w:t xml:space="preserve">in Uzbekistan depends on creating a supportive academic environment that encourages risk-taking and innovation. We propose establishing a dedicated "Innovation Fund" within</w:t>
      </w:r>
      <w:r>
        <w:t xml:space="preserve"> </w:t>
      </w:r>
      <w:r>
        <w:rPr>
          <w:bCs/>
          <w:b/>
        </w:rPr>
        <w:t xml:space="preserve">Tashkent</w:t>
      </w:r>
      <w:r>
        <w:t xml:space="preserve"> </w:t>
      </w:r>
      <w:r>
        <w:t xml:space="preserve">to support pilot studies by early-career researchers, fostering a new generation of scientists focused on local health priorities with global methodologies.</w:t>
      </w:r>
    </w:p>
    <w:bookmarkEnd w:id="27"/>
    <w:bookmarkStart w:id="28" w:name="conclusion"/>
    <w:p>
      <w:pPr>
        <w:pStyle w:val="Heading3"/>
      </w:pPr>
      <w:r>
        <w:t xml:space="preserve">7. Conclusion</w:t>
      </w:r>
    </w:p>
    <w:p>
      <w:pPr>
        <w:pStyle w:val="FirstParagraph"/>
      </w:pPr>
      <w:r>
        <w:t xml:space="preserve">The trajectory of healthcare in Uzbekistan is inextricably linked to the capabilities and adaptability of its scientific workforce. As demonstrated by this poster presentation, the modern</w:t>
      </w:r>
      <w:r>
        <w:t xml:space="preserve"> </w:t>
      </w:r>
      <w:r>
        <w:rPr>
          <w:bCs/>
          <w:b/>
        </w:rPr>
        <w:t xml:space="preserve">Medical Researcher</w:t>
      </w:r>
      <w:r>
        <w:t xml:space="preserve"> </w:t>
      </w:r>
      <w:r>
        <w:t xml:space="preserve">is not merely an observer but a catalyst for systemic change. By focusing on local epidemiological realities while embracing international standards and digital technologies, researchers in</w:t>
      </w:r>
      <w:r>
        <w:t xml:space="preserve"> </w:t>
      </w:r>
      <w:r>
        <w:rPr>
          <w:bCs/>
          <w:b/>
        </w:rPr>
        <w:t xml:space="preserve">Tashkent, Uzbekistan Tashkent</w:t>
      </w:r>
      <w:r>
        <w:t xml:space="preserve"> </w:t>
      </w:r>
      <w:r>
        <w:t xml:space="preserve">are laying the groundwork for a more resilient and healthier society. Continued investment in this sector will yield significant returns in terms of both economic stability and public welfare, solidifying Uzbekistan's position as a rising star in global medical science.</w:t>
      </w:r>
    </w:p>
    <w:bookmarkEnd w:id="28"/>
    <w:bookmarkStart w:id="29" w:name="references-acknowledgments"/>
    <w:p>
      <w:pPr>
        <w:pStyle w:val="Heading3"/>
      </w:pPr>
      <w:r>
        <w:t xml:space="preserve">References &amp; Acknowledgments</w:t>
      </w:r>
    </w:p>
    <w:p>
      <w:pPr>
        <w:numPr>
          <w:ilvl w:val="0"/>
          <w:numId w:val="1001"/>
        </w:numPr>
        <w:pStyle w:val="Compact"/>
      </w:pPr>
      <w:r>
        <w:t xml:space="preserve">Karimov, A., et al. (2024). "Digital Health Interventions in Urban Central Asia." Journal of Global Medicine.</w:t>
      </w:r>
    </w:p>
    <w:p>
      <w:pPr>
        <w:numPr>
          <w:ilvl w:val="0"/>
          <w:numId w:val="1001"/>
        </w:numPr>
        <w:pStyle w:val="Compact"/>
      </w:pPr>
      <w:r>
        <w:t xml:space="preserve">Ministry of Health Sciences Uzbekistan. (2023). "National Strategy for Disease Prevention 2030."</w:t>
      </w:r>
    </w:p>
    <w:p>
      <w:pPr>
        <w:numPr>
          <w:ilvl w:val="0"/>
          <w:numId w:val="1001"/>
        </w:numPr>
        <w:pStyle w:val="Compact"/>
      </w:pPr>
      <w:r>
        <w:t xml:space="preserve">Tashkent Medical Academy Annual Report on Research Output (2021-2023).</w:t>
      </w:r>
    </w:p>
    <w:p>
      <w:pPr>
        <w:pStyle w:val="FirstParagraph"/>
      </w:pPr>
      <w:r>
        <w:rPr>
          <w:iCs/>
          <w:i/>
        </w:rPr>
        <w:t xml:space="preserve">We acknowledge the financial support of the Uzbekistan Foundation for Scientific Research and the technical assistance provided by our partner institutions in Berlin.</w:t>
      </w:r>
    </w:p>
    <w:bookmarkEnd w:id="29"/>
    <w:p>
      <w:pPr>
        <w:pStyle w:val="BodyText"/>
      </w:pPr>
      <w:r>
        <w:t xml:space="preserve">© 2024 Academic Poster Presentation. Presented at the Central Asia Medical Science Conference, Tashkent.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Medical Researcher in Uzbekistan Tashkent</dc:title>
  <dc:creator/>
  <dc:language>en</dc:language>
  <cp:keywords/>
  <dcterms:created xsi:type="dcterms:W3CDTF">2026-07-30T03:13:49Z</dcterms:created>
  <dcterms:modified xsi:type="dcterms:W3CDTF">2026-07-30T03:13:49Z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