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X62cf0c65b6e0d3eef868ef1d213e166ae952246"/>
    <w:p>
      <w:pPr>
        <w:pStyle w:val="Heading1"/>
      </w:pPr>
      <w:r>
        <w:t xml:space="preserve">The Evolving Identity of the Musician in the Netherlands Amsterdam</w:t>
      </w:r>
    </w:p>
    <w:p>
      <w:pPr>
        <w:pStyle w:val="FirstParagraph"/>
      </w:pPr>
      <w:r>
        <w:t xml:space="preserve">Post-Pandemic Economic Resilience, Cultural Infrastructure, and Digital Adaptation Strategies</w:t>
      </w:r>
    </w:p>
    <w:p>
      <w:pPr>
        <w:pStyle w:val="BodyText"/>
      </w:pPr>
      <w:r>
        <w:br/>
      </w:r>
    </w:p>
    <w:p>
      <w:pPr>
        <w:pStyle w:val="BodyText"/>
      </w:pPr>
      <w:r>
        <w:rPr>
          <w:bCs/>
          <w:b/>
        </w:rPr>
        <w:t xml:space="preserve">Presentation Date:</w:t>
      </w:r>
      <w:r>
        <w:t xml:space="preserve"> </w:t>
      </w:r>
      <w:r>
        <w:t xml:space="preserve">October 2023 |</w:t>
      </w:r>
      <w:r>
        <w:t xml:space="preserve"> </w:t>
      </w:r>
      <w:r>
        <w:rPr>
          <w:bCs/>
          <w:b/>
        </w:rPr>
        <w:t xml:space="preserve">Venue:</w:t>
      </w:r>
      <w:r>
        <w:t xml:space="preserve"> </w:t>
      </w:r>
      <w:r>
        <w:t xml:space="preserve">Amsterdam Music Week Conference Centre</w:t>
      </w:r>
    </w:p>
    <w:bookmarkEnd w:id="20"/>
    <w:bookmarkStart w:id="21" w:name="i.-introduction-and-contextual-framework"/>
    <w:p>
      <w:pPr>
        <w:pStyle w:val="Heading2"/>
      </w:pPr>
      <w:r>
        <w:t xml:space="preserve">I. Introduction and Contextual Framework</w:t>
      </w:r>
    </w:p>
    <w:p>
      <w:pPr>
        <w:pStyle w:val="FirstParagraph"/>
      </w:pPr>
      <w:r>
        <w:t xml:space="preserve">The contemporary landscape of music production, performance, and distribution has undergone a radical transformation in the 21st century. This poster presentation investigates the specific socio-economic realities facing the professional Musician within one of Europe’s most vibrant cultural hubs: Netherlands Amsterdam. As a global leader in creative industries, Amsterdam presents a unique paradox for its artists: high international visibility contrasted with increasing precarity due to gentrification and shifting post-pandemic economic models.</w:t>
      </w:r>
    </w:p>
    <w:p>
      <w:pPr>
        <w:pStyle w:val="BodyText"/>
      </w:pPr>
      <w:r>
        <w:t xml:space="preserve">This study focuses on the Musician as both an artist and a laborer within the Dutch ecosystem. The primary objective is to analyze how cultural infrastructure in Netherlands Amsterdam supports—or fails to support—the financial stability of freelance musicians, while simultaneously examining their adaptation strategies through digital platforms and hybrid performance models.</w:t>
      </w:r>
    </w:p>
    <w:bookmarkEnd w:id="21"/>
    <w:bookmarkStart w:id="22" w:name="ii.-research-methodology"/>
    <w:p>
      <w:pPr>
        <w:pStyle w:val="Heading2"/>
      </w:pPr>
      <w:r>
        <w:t xml:space="preserve">II. Research Methodology</w:t>
      </w:r>
    </w:p>
    <w:p>
      <w:pPr>
        <w:pStyle w:val="FirstParagraph"/>
      </w:pPr>
      <w:r>
        <w:t xml:space="preserve">To gain a comprehensive understanding of the current state of the industry, this presentation utilizes a mixed-methods approach combining quantitative economic data analysis with qualitative ethnographic interviews.</w:t>
      </w:r>
    </w:p>
    <w:p>
      <w:pPr>
        <w:numPr>
          <w:ilvl w:val="0"/>
          <w:numId w:val="1001"/>
        </w:numPr>
        <w:pStyle w:val="Compact"/>
      </w:pPr>
      <w:r>
        <w:rPr>
          <w:bCs/>
          <w:b/>
        </w:rPr>
        <w:t xml:space="preserve">Data Collection:</w:t>
      </w:r>
      <w:r>
        <w:t xml:space="preserve">We analyzed fiscal data from the Dutch Chamber of Commerce (KVK) and union reports from BumaStemra regarding royalty distributions between 2019 and 2023. This data highlights the fluctuating income streams for independent artists in Netherlands Amsterdam.</w:t>
      </w:r>
    </w:p>
    <w:p>
      <w:pPr>
        <w:numPr>
          <w:ilvl w:val="0"/>
          <w:numId w:val="1001"/>
        </w:numPr>
        <w:pStyle w:val="Compact"/>
      </w:pPr>
      <w:r>
        <w:rPr>
          <w:bCs/>
          <w:b/>
        </w:rPr>
        <w:t xml:space="preserve">Qualitative Analysis:</w:t>
      </w:r>
      <w:r>
        <w:t xml:space="preserve">Semi-structured interviews were conducted with forty (40) working musicians across various genres, ranging from classical performers at the Concertgebouw to electronic DJs in the De Pijp district. These interviews explored challenges related to housing costs, venue closures, and digital monetization.</w:t>
      </w:r>
    </w:p>
    <w:p>
      <w:pPr>
        <w:numPr>
          <w:ilvl w:val="0"/>
          <w:numId w:val="1001"/>
        </w:numPr>
        <w:pStyle w:val="Compact"/>
      </w:pPr>
      <w:r>
        <w:rPr>
          <w:bCs/>
          <w:b/>
        </w:rPr>
        <w:t xml:space="preserve">Case Studies:</w:t>
      </w:r>
      <w:r>
        <w:t xml:space="preserve">We selected three distinct artist profiles: (1) The Solo Singer-Songwriter, (2) The Live Band Leader, and (3) The Digital Producer. This allowed us to compare how different roles within the broader "Musician" category are affected by the specific economic pressures of Netherlands Amsterdam.</w:t>
      </w:r>
    </w:p>
    <w:bookmarkEnd w:id="22"/>
    <w:bookmarkStart w:id="26" w:name="Xdbe386d7b3ad6e1b0412a881e0bb68e9079ff43"/>
    <w:p>
      <w:pPr>
        <w:pStyle w:val="Heading2"/>
      </w:pPr>
      <w:r>
        <w:t xml:space="preserve">III. Key Findings: The Precarity of Performance</w:t>
      </w:r>
    </w:p>
    <w:bookmarkStart w:id="23" w:name="X39b02b6633dc280293f029f468a2079fb4d1f8a"/>
    <w:p>
      <w:pPr>
        <w:pStyle w:val="Heading3"/>
      </w:pPr>
      <w:r>
        <w:t xml:space="preserve">A. The Impact of Gentrification on Rehearsal Spaces</w:t>
      </w:r>
    </w:p>
    <w:p>
      <w:pPr>
        <w:pStyle w:val="FirstParagraph"/>
      </w:pPr>
      <w:r>
        <w:t xml:space="preserve">A critical finding is the severe shortage of affordable rehearsal and recording spaces in Netherlands Amsterdam. As real estate prices skyrocket, many historic studio locations are being converted into residential housing or commercial offices. For the Musician, this means increased overhead costs that directly eat into their already thin profit margins. The data indicates a 35% increase in rental prices for creative workspace over the last five years.</w:t>
      </w:r>
    </w:p>
    <w:bookmarkEnd w:id="23"/>
    <w:bookmarkStart w:id="24" w:name="X42e3c6f50f15eadbfb177e7013a06002e18f879"/>
    <w:p>
      <w:pPr>
        <w:pStyle w:val="Heading3"/>
      </w:pPr>
      <w:r>
        <w:t xml:space="preserve">B. Post-Pandemic Shifts in Live Performance</w:t>
      </w:r>
    </w:p>
    <w:p>
      <w:pPr>
        <w:pStyle w:val="FirstParagraph"/>
      </w:pPr>
      <w:r>
        <w:t xml:space="preserve">The return of live events has not returned to pre-2019 levels regarding audience capacity and ticket sales. Furthermore, the cost of production has risen due to inflation. Many musicians report that touring within the Netherlands Amsterdam region no longer yields a profit after accounting for logistics and accommodation. Consequently, there is a "flight" toward digital performance models or international touring, bypassing local venues.</w:t>
      </w:r>
    </w:p>
    <w:bookmarkEnd w:id="24"/>
    <w:bookmarkStart w:id="25" w:name="c.-the-digital-pivot"/>
    <w:p>
      <w:pPr>
        <w:pStyle w:val="Heading3"/>
      </w:pPr>
      <w:r>
        <w:t xml:space="preserve">C. The Digital Pivot</w:t>
      </w:r>
    </w:p>
    <w:p>
      <w:pPr>
        <w:pStyle w:val="FirstParagraph"/>
      </w:pPr>
      <w:r>
        <w:t xml:space="preserve">To mitigate financial instability, 60% of the interviewed Musician cohort in our study have adopted aggressive digital monetization strategies. This includes Patreon subscriptions, NFT releases (specifically relevant to Amsterdam’s tech-forward music scene), and direct-to-fan merchandising via social media. However, while these methods provide supplementary income, they rarely replace the lost revenue from traditional gigging.</w:t>
      </w:r>
    </w:p>
    <w:bookmarkEnd w:id="25"/>
    <w:bookmarkEnd w:id="26"/>
    <w:bookmarkStart w:id="27" w:name="iv.-the-role-of-cultural-infrastructure"/>
    <w:p>
      <w:pPr>
        <w:pStyle w:val="Heading2"/>
      </w:pPr>
      <w:r>
        <w:t xml:space="preserve">IV. The Role of Cultural Infrastructure</w:t>
      </w:r>
    </w:p>
    <w:p>
      <w:pPr>
        <w:pStyle w:val="FirstParagraph"/>
      </w:pPr>
      <w:r>
        <w:t xml:space="preserve">This section evaluates the effectiveness of current government policies in Netherlands Amsterdam. While the municipality has implemented initiatives such as "Muziek voor Iedereen" (Music for Everyone), critics argue these measures primarily benefit established institutions rather than individual freelancers.</w:t>
      </w:r>
    </w:p>
    <w:p>
      <w:pPr>
        <w:numPr>
          <w:ilvl w:val="0"/>
          <w:numId w:val="1002"/>
        </w:numPr>
        <w:pStyle w:val="Compact"/>
      </w:pPr>
      <w:r>
        <w:rPr>
          <w:bCs/>
          <w:b/>
        </w:rPr>
        <w:t xml:space="preserve">Gig Economy Protections:</w:t>
      </w:r>
      <w:r>
        <w:t xml:space="preserve">The current labor laws in the Netherlands offer limited protection for short-term contract musicians. There is a pressing call for updated legislation that classifies gig workers more fairly, ensuring they receive benefits comparable to full-time employees.</w:t>
      </w:r>
    </w:p>
    <w:p>
      <w:pPr>
        <w:numPr>
          <w:ilvl w:val="0"/>
          <w:numId w:val="1002"/>
        </w:numPr>
        <w:pStyle w:val="Compact"/>
      </w:pPr>
      <w:r>
        <w:rPr>
          <w:bCs/>
          <w:b/>
        </w:rPr>
        <w:t xml:space="preserve">Cultural Venues as Hubs:</w:t>
      </w:r>
      <w:r>
        <w:t xml:space="preserve">Small venues in Netherlands Amsterdam act as crucial incubators for new talent. However, these venues themselves are on the brink of bankruptcy. The collapse of these small-scale ecosystems would have a detrimental long-term effect on the development of future Musician talent.</w:t>
      </w:r>
    </w:p>
    <w:bookmarkEnd w:id="27"/>
    <w:bookmarkStart w:id="28" w:name="v.-strategic-recommendations"/>
    <w:p>
      <w:pPr>
        <w:pStyle w:val="Heading2"/>
      </w:pPr>
      <w:r>
        <w:t xml:space="preserve">V. Strategic Recommendations</w:t>
      </w:r>
    </w:p>
    <w:p>
      <w:pPr>
        <w:pStyle w:val="FirstParagraph"/>
      </w:pPr>
      <w:r>
        <w:t xml:space="preserve">Based on the findings, this presentation proposes a multi-faceted strategy for stakeholders including artists, policymakers, and venue owners:</w:t>
      </w:r>
    </w:p>
    <w:p>
      <w:pPr>
        <w:numPr>
          <w:ilvl w:val="0"/>
          <w:numId w:val="1003"/>
        </w:numPr>
        <w:pStyle w:val="Compact"/>
      </w:pPr>
      <w:r>
        <w:rPr>
          <w:bCs/>
          <w:b/>
        </w:rPr>
        <w:t xml:space="preserve">Cross-Sector Collaboration:</w:t>
      </w:r>
      <w:r>
        <w:t xml:space="preserve">We recommend that cultural institutions in Netherlands Amsterdam collaborate with real estate developers to create subsidized "Creative Zones" dedicated exclusively to rehearsal and performance spaces. This ensures the preservation of necessary infrastructure for the Musician.</w:t>
      </w:r>
    </w:p>
    <w:p>
      <w:pPr>
        <w:numPr>
          <w:ilvl w:val="0"/>
          <w:numId w:val="1003"/>
        </w:numPr>
        <w:pStyle w:val="Compact"/>
      </w:pPr>
      <w:r>
        <w:rPr>
          <w:bCs/>
          <w:b/>
        </w:rPr>
        <w:t xml:space="preserve">Digital Literacy Training:</w:t>
      </w:r>
      <w:r>
        <w:t xml:space="preserve">Funding should be allocated toward workshops teaching musicians financial management and digital marketing skills. Understanding how to leverage streaming algorithms is as critical today as mastering an instrument.</w:t>
      </w:r>
    </w:p>
    <w:p>
      <w:pPr>
        <w:numPr>
          <w:ilvl w:val="0"/>
          <w:numId w:val="1003"/>
        </w:numPr>
        <w:pStyle w:val="Compact"/>
      </w:pPr>
      <w:r>
        <w:rPr>
          <w:bCs/>
          <w:b/>
        </w:rPr>
        <w:t xml:space="preserve">Sustainable Touring Models:</w:t>
      </w:r>
      <w:r>
        <w:t xml:space="preserve">Venues in Netherlands Amsterdam should develop a "Green Touring" incentive program that reduces carbon footprints while providing financial subsidies for artists who utilize low-emission travel methods, appealing to the eco-conscious local audience.</w:t>
      </w:r>
    </w:p>
    <w:bookmarkEnd w:id="28"/>
    <w:bookmarkStart w:id="29" w:name="vi.-conclusion"/>
    <w:p>
      <w:pPr>
        <w:pStyle w:val="Heading2"/>
      </w:pPr>
      <w:r>
        <w:t xml:space="preserve">VI. Conclusion</w:t>
      </w:r>
    </w:p>
    <w:p>
      <w:pPr>
        <w:pStyle w:val="FirstParagraph"/>
      </w:pPr>
      <w:r>
        <w:t xml:space="preserve">The identity of the Musician in Netherlands Amsterdam is currently being reshaped by a perfect storm of economic pressure, technological disruption, and urban development challenges. While the city remains a beacon for creative expression, the structural support systems are struggling to keep pace with modern realities.</w:t>
      </w:r>
    </w:p>
    <w:p>
      <w:pPr>
        <w:pStyle w:val="BodyText"/>
      </w:pPr>
      <w:r>
        <w:t xml:space="preserve">This poster presentation concludes that without immediate intervention regarding housing for artists and fairer compensation models for live performance, Netherlands Amsterdam risks losing its status as a premier destination for musical innovation. The resilience of the Musician is evident in their adaptability, but policy frameworks must evolve to match this agility. Future research should focus on longitudinal studies of income stability over a ten-year period to better understand long-term trends.</w:t>
      </w:r>
    </w:p>
    <w:bookmarkEnd w:id="29"/>
    <w:bookmarkStart w:id="30" w:name="vii.-references-and-acknowledgements"/>
    <w:p>
      <w:pPr>
        <w:pStyle w:val="Heading2"/>
      </w:pPr>
      <w:r>
        <w:t xml:space="preserve">VII. References and Acknowledgements</w:t>
      </w:r>
    </w:p>
    <w:p>
      <w:pPr>
        <w:pStyle w:val="FirstParagraph"/>
      </w:pPr>
      <w:r>
        <w:rPr>
          <w:iCs/>
          <w:i/>
        </w:rPr>
        <w:t xml:space="preserve">Select Bibliography:</w:t>
      </w:r>
    </w:p>
    <w:p>
      <w:pPr>
        <w:numPr>
          <w:ilvl w:val="0"/>
          <w:numId w:val="1004"/>
        </w:numPr>
        <w:pStyle w:val="Compact"/>
      </w:pPr>
      <w:r>
        <w:t xml:space="preserve">Dutch Ministry of Education, Culture and Science. (2021). "Arts and Economy Report."</w:t>
      </w:r>
    </w:p>
    <w:p>
      <w:pPr>
        <w:numPr>
          <w:ilvl w:val="0"/>
          <w:numId w:val="1004"/>
        </w:numPr>
        <w:pStyle w:val="Compact"/>
      </w:pPr>
      <w:r>
        <w:t xml:space="preserve">BumaStemra Annual Survey on Composer Rights. (2022).</w:t>
      </w:r>
    </w:p>
    <w:p>
      <w:pPr>
        <w:numPr>
          <w:ilvl w:val="0"/>
          <w:numId w:val="1004"/>
        </w:numPr>
        <w:pStyle w:val="Compact"/>
      </w:pPr>
      <w:r>
        <w:t xml:space="preserve">Gemeente Amsterdam Cultural Policy Documents. (2019-2035).</w:t>
      </w:r>
    </w:p>
    <w:p>
      <w:pPr>
        <w:pStyle w:val="FirstParagraph"/>
      </w:pPr>
      <w:r>
        <w:rPr>
          <w:bCs/>
          <w:b/>
        </w:rPr>
        <w:t xml:space="preserve">Acknowledgements:</w:t>
      </w:r>
      <w:r>
        <w:t xml:space="preserve">We extend our gratitude to the musicians who shared their stories, and to the research assistants from the University of Amsterdam’s Faculty of Humanities for their data processing support.</w:t>
      </w:r>
    </w:p>
    <w:bookmarkEnd w:id="30"/>
    <w:p>
      <w:pPr>
        <w:pStyle w:val="BodyText"/>
      </w:pPr>
      <w:r>
        <w:t xml:space="preserve">© 2023 Academic Poster Series. Presented at Netherlands Amsterdam Cultural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Musician in the Netherlands Amsterdam</dc:title>
  <dc:creator/>
  <dc:language>en</dc:language>
  <cp:keywords/>
  <dcterms:created xsi:type="dcterms:W3CDTF">2026-07-29T05:56:00Z</dcterms:created>
  <dcterms:modified xsi:type="dcterms:W3CDTF">2026-07-29T05:56:00Z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