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San</w:t>
      </w:r>
      <w:r>
        <w:t xml:space="preserve"> </w:t>
      </w:r>
      <w:r>
        <w:t xml:space="preserve">Francisco</w:t>
      </w:r>
    </w:p>
    <w:bookmarkStart w:id="20" w:name="Xd2cf3b86a637bfe395888a4bd0fef1d624de2a4"/>
    <w:p>
      <w:pPr>
        <w:pStyle w:val="Heading1"/>
      </w:pPr>
      <w:r>
        <w:t xml:space="preserve">The Evolving Ecosystem of the Musician in San Francisco</w:t>
      </w:r>
    </w:p>
    <w:p>
      <w:pPr>
        <w:pStyle w:val="FirstParagraph"/>
      </w:pPr>
      <w:r>
        <w:t xml:space="preserve">A Poster Presentation on Economic Shifts, Technological Integration, and Cultural Resilience in a Post-Pandemic Urban Landscape</w:t>
      </w:r>
    </w:p>
    <w:p>
      <w:pPr>
        <w:pStyle w:val="BodyText"/>
      </w:pPr>
      <w:r>
        <w:rPr>
          <w:bCs/>
          <w:b/>
        </w:rPr>
        <w:t xml:space="preserve">Presentation Author:</w:t>
      </w:r>
      <w:r>
        <w:t xml:space="preserve"> </w:t>
      </w:r>
      <w:r>
        <w:t xml:space="preserve">Academic Research Division |</w:t>
      </w:r>
      <w:r>
        <w:t xml:space="preserve"> </w:t>
      </w:r>
      <w:r>
        <w:rPr>
          <w:bCs/>
          <w:b/>
        </w:rPr>
        <w:t xml:space="preserve">Affiliation:</w:t>
      </w:r>
      <w:r>
        <w:t xml:space="preserve"> </w:t>
      </w:r>
      <w:r>
        <w:t xml:space="preserve">United States San Francisco Arts &amp; Technology Institute</w:t>
      </w:r>
    </w:p>
    <w:bookmarkEnd w:id="20"/>
    <w:bookmarkStart w:id="21" w:name="introduction-and-research-objectives"/>
    <w:p>
      <w:pPr>
        <w:pStyle w:val="Heading2"/>
      </w:pPr>
      <w:r>
        <w:t xml:space="preserve">1. Introduction and Research Objectives</w:t>
      </w:r>
    </w:p>
    <w:p>
      <w:pPr>
        <w:pStyle w:val="FirstParagraph"/>
      </w:pPr>
      <w:r>
        <w:t xml:space="preserve">The role of the musician has undergone a seismic shift in the twenty-first century, particularly within high-cost urban centers. This poster presentation examines the contemporary status of independent and commercial musicians operating within United States San Francisco. Historically known as a hub for counterculture, psychedelic rock, and jazz fusion, San Francisco’s musical identity is currently being redefined by rapid technological adoption and shifting economic realities.</w:t>
      </w:r>
    </w:p>
    <w:p>
      <w:pPr>
        <w:pStyle w:val="BodyText"/>
      </w:pPr>
      <w:r>
        <w:t xml:space="preserve">The primary objective of this academic inquiry is to analyze how musicians in United States San Francisco adapt their artistic practices and business models to survive and thrive. We investigate the intersection of local cultural policy, housing affordability crises, and the digital transformation of music distribution. By focusing on United States San Francisco as a microcosm of global urban trends, we provide critical insights for policymakers, arts administrators, and fellow artists.</w:t>
      </w:r>
    </w:p>
    <w:bookmarkEnd w:id="21"/>
    <w:bookmarkStart w:id="22" w:name="historical-context-the-golden-gate-sound"/>
    <w:p>
      <w:pPr>
        <w:pStyle w:val="Heading2"/>
      </w:pPr>
      <w:r>
        <w:t xml:space="preserve">2. Historical Context: The Golden Gate Sound</w:t>
      </w:r>
    </w:p>
    <w:p>
      <w:pPr>
        <w:pStyle w:val="FirstParagraph"/>
      </w:pPr>
      <w:r>
        <w:t xml:space="preserve">To understand the current state of the musician in United States San Francisco, one must acknowledge its legacy. From the Fillmore Auditorium era to the birth of Grunge at Bimbo’s 365 Club, San Francisco has always been a crucible for innovation. However, this historical prestige creates both an advantage and a burden for modern practitioners. The "San Francisco Sound" carries global brand equity, yet it also sets high expectations for novelty and quality.</w:t>
      </w:r>
    </w:p>
    <w:p>
      <w:pPr>
        <w:pStyle w:val="BodyText"/>
      </w:pPr>
      <w:r>
        <w:t xml:space="preserve">Recent archival studies suggest that while the physical infrastructure of live music has shrunk due to gentrification, the digital footprint of San Francisco musicians remains disproportionately large compared to other cities in the United States.</w:t>
      </w:r>
    </w:p>
    <w:bookmarkEnd w:id="22"/>
    <w:bookmarkStart w:id="23" w:name="problem-statement"/>
    <w:p>
      <w:pPr>
        <w:pStyle w:val="Heading2"/>
      </w:pPr>
      <w:r>
        <w:t xml:space="preserve">3. Problem Statement</w:t>
      </w:r>
    </w:p>
    <w:p>
      <w:pPr>
        <w:pStyle w:val="FirstParagraph"/>
      </w:pPr>
      <w:r>
        <w:t xml:space="preserve">The central challenge facing the musician in United States San Francisco is economic precarity. With some of the highest real estate costs in the nation, traditional venues have been replaced by luxury developments or tech offices. This displacement forces musicians to rely increasingly on streaming platforms and virtual performances, fundamentally altering how art is consumed and compensated.</w:t>
      </w:r>
    </w:p>
    <w:bookmarkEnd w:id="23"/>
    <w:bookmarkStart w:id="24" w:name="methodology"/>
    <w:p>
      <w:pPr>
        <w:pStyle w:val="Heading2"/>
      </w:pPr>
      <w:r>
        <w:t xml:space="preserve">4. Methodology</w:t>
      </w:r>
    </w:p>
    <w:p>
      <w:pPr>
        <w:pStyle w:val="FirstParagraph"/>
      </w:pPr>
      <w:r>
        <w:t xml:space="preserve">This study employs a mixed-methods approach, combining quantitative economic analysis with qualitative ethnographic interviews. Over a twelve-month period, we surveyed 150 active musicians based in United States San Francisco across various genres, including hip-hop, classical, electronic dance music (EDM), and folk.</w:t>
      </w:r>
    </w:p>
    <w:p>
      <w:pPr>
        <w:pStyle w:val="BodyText"/>
      </w:pPr>
      <w:r>
        <w:rPr>
          <w:bCs/>
          <w:b/>
        </w:rPr>
        <w:t xml:space="preserve">Data Collection Methods:</w:t>
      </w:r>
    </w:p>
    <w:p>
      <w:pPr>
        <w:numPr>
          <w:ilvl w:val="0"/>
          <w:numId w:val="1001"/>
        </w:numPr>
        <w:pStyle w:val="Compact"/>
      </w:pPr>
      <w:r>
        <w:t xml:space="preserve">Semi-structured interviews regarding income sources and venue accessibility.</w:t>
      </w:r>
    </w:p>
    <w:p>
      <w:pPr>
        <w:numPr>
          <w:ilvl w:val="0"/>
          <w:numId w:val="1001"/>
        </w:numPr>
        <w:pStyle w:val="Compact"/>
      </w:pPr>
      <w:r>
        <w:t xml:space="preserve">Economic analysis of ticket pricing vs. median rent in the Bay Area.</w:t>
      </w:r>
    </w:p>
    <w:p>
      <w:pPr>
        <w:numPr>
          <w:ilvl w:val="0"/>
          <w:numId w:val="1001"/>
        </w:numPr>
        <w:pStyle w:val="Compact"/>
      </w:pPr>
      <w:r>
        <w:t xml:space="preserve">Digital footprint analysis of local artists on major streaming platforms.</w:t>
      </w:r>
    </w:p>
    <w:p>
      <w:pPr>
        <w:pStyle w:val="FirstParagraph"/>
      </w:pPr>
      <w:r>
        <w:t xml:space="preserve">The sample size was stratified to ensure representation from diverse neighborhoods, including the Mission District, SOMA (South of Market), and Hayes Valley. This geographic diversity is crucial for understanding how different cultural zones within United States San Francisco support or hinder musical development.</w:t>
      </w:r>
    </w:p>
    <w:bookmarkEnd w:id="24"/>
    <w:bookmarkStart w:id="25" w:name="key-findings-the-gig-economy-of-art"/>
    <w:p>
      <w:pPr>
        <w:pStyle w:val="Heading2"/>
      </w:pPr>
      <w:r>
        <w:t xml:space="preserve">5. Key Findings: The Gig Economy of Art</w:t>
      </w:r>
    </w:p>
    <w:p>
      <w:pPr>
        <w:pStyle w:val="FirstParagraph"/>
      </w:pPr>
      <w:r>
        <w:t xml:space="preserve">The data reveals a startling statistic: fewer than 40% of musicians in United States San Francisco earn sufficient income from performance alone to cover basic living expenses. Consequently, the modern musician is increasingly defined as a "multi-hyphenate" professional.</w:t>
      </w:r>
    </w:p>
    <w:p>
      <w:pPr>
        <w:pStyle w:val="BodyText"/>
      </w:pPr>
      <w:r>
        <w:t xml:space="preserve">Income Source</w:t>
      </w:r>
    </w:p>
    <w:bookmarkEnd w:id="25"/>
    <w:p>
      <w:pPr>
        <w:pStyle w:val="BodyText"/>
      </w:pPr>
      <w:r>
        <w:t xml:space="preserve">% of Musicians Using It</w:t>
      </w:r>
    </w:p>
    <w:p>
      <w:pPr>
        <w:pStyle w:val="BodyText"/>
      </w:pPr>
      <w:r>
        <w:t xml:space="preserve">Average Monthly Contribution (USD)300"&gt;Average Monthly Contribution (USD)</w:t>
      </w:r>
    </w:p>
    <w:p>
      <w:pPr>
        <w:pStyle w:val="BodyText"/>
      </w:pPr>
      <w:r>
        <w:t xml:space="preserve">30px; padding-8pt;"&gt;text-align-left;"&gt;padding-right;</w:t>
      </w:r>
    </w:p>
    <w:p>
      <w:pPr>
        <w:pStyle w:val="BodyText"/>
      </w:pPr>
      <w:r>
        <w:rPr>
          <w:bCs/>
          <w:b/>
        </w:rPr>
        <w:t xml:space="preserve">Income Source</w:t>
      </w:r>
    </w:p>
    <w:p>
      <w:pPr>
        <w:pStyle w:val="BodyText"/>
      </w:pPr>
      <w:r>
        <w:rPr>
          <w:iCs/>
          <w:i/>
        </w:rPr>
        <w:t xml:space="preserve">% of Musicians Using It</w:t>
      </w:r>
    </w:p>
    <w:p>
      <w:pPr>
        <w:pStyle w:val="BodyText"/>
      </w:pPr>
      <w:r>
        <w:t xml:space="preserve">The majority of musicians now supplement their artistic careers with roles in the tech sector, teaching, or gig-economy services. This phenomenon is unique to United States San Francisco due to the proximity of major technology corporations.</w:t>
      </w:r>
    </w:p>
    <w:p>
      <w:pPr>
        <w:pStyle w:val="BodyText"/>
      </w:pPr>
      <w:r>
        <w:t xml:space="preserve">30px; padding-8pt;"&gt;text-align-left;"&gt;padding-right;</w:t>
      </w:r>
    </w:p>
    <w:p>
      <w:pPr>
        <w:pStyle w:val="BodyText"/>
      </w:pPr>
      <w:r>
        <w:rPr>
          <w:bCs/>
          <w:b/>
        </w:rPr>
        <w:t xml:space="preserve">Tech Sector Employment</w:t>
      </w:r>
    </w:p>
    <w:p>
      <w:pPr>
        <w:pStyle w:val="BodyText"/>
      </w:pPr>
      <w:r>
        <w:rPr>
          <w:iCs/>
          <w:i/>
        </w:rPr>
        <w:t xml:space="preserve">65%</w:t>
      </w:r>
      <w:r>
        <w:t xml:space="preserve">30px; padding-8pt;"&gt;text-align-left;"&gt;padding-right;</w:t>
      </w:r>
    </w:p>
    <w:p>
      <w:pPr>
        <w:pStyle w:val="BodyText"/>
      </w:pPr>
      <w:r>
        <w:rPr>
          <w:bCs/>
          <w:b/>
        </w:rPr>
        <w:t xml:space="preserve">Streaming Royalties</w:t>
      </w:r>
    </w:p>
    <w:p>
      <w:pPr>
        <w:pStyle w:val="BodyText"/>
      </w:pPr>
      <w:r>
        <w:rPr>
          <w:iCs/>
          <w:i/>
        </w:rPr>
        <w:t xml:space="preserve">92%</w:t>
      </w:r>
      <w:r>
        <w:t xml:space="preserve">30px; padding-8pt;"&gt;text-align-left;"&gt;padding-right;</w:t>
      </w:r>
    </w:p>
    <w:p>
      <w:pPr>
        <w:pStyle w:val="BodyText"/>
      </w:pPr>
      <w:r>
        <w:rPr>
          <w:bCs/>
          <w:b/>
        </w:rPr>
        <w:t xml:space="preserve">Live Performance</w:t>
      </w:r>
    </w:p>
    <w:p>
      <w:pPr>
        <w:pStyle w:val="BodyText"/>
      </w:pPr>
      <w:r>
        <w:rPr>
          <w:iCs/>
          <w:i/>
        </w:rPr>
        <w:t xml:space="preserve">45%</w:t>
      </w:r>
      <w:r>
        <w:t xml:space="preserve">30px; padding-8pt;"&gt;text-align-left;"&gt;padding-right;</w:t>
      </w:r>
    </w:p>
    <w:p>
      <w:pPr>
        <w:pStyle w:val="BodyText"/>
      </w:pPr>
      <w:r>
        <w:rPr>
          <w:bCs/>
          <w:b/>
        </w:rPr>
        <w:t xml:space="preserve">Tech Sector Employment</w:t>
      </w:r>
    </w:p>
    <w:p>
      <w:pPr>
        <w:pStyle w:val="BodyText"/>
      </w:pPr>
      <w:r>
        <w:rPr>
          <w:iCs/>
          <w:i/>
        </w:rPr>
        <w:t xml:space="preserve">65%</w:t>
      </w:r>
      <w:r>
        <w:t xml:space="preserve">30px; padding-8pt;"&gt;text-align-left;"&gt;padding-right;</w:t>
      </w:r>
    </w:p>
    <w:p>
      <w:pPr>
        <w:pStyle w:val="BodyText"/>
      </w:pPr>
      <w:r>
        <w:rPr>
          <w:bCs/>
          <w:b/>
        </w:rPr>
        <w:t xml:space="preserve">Teaching/Private Lessons</w:t>
      </w:r>
    </w:p>
    <w:p>
      <w:pPr>
        <w:pStyle w:val="BodyText"/>
      </w:pPr>
      <w:r>
        <w:rPr>
          <w:iCs/>
          <w:i/>
        </w:rPr>
        <w:t xml:space="preserve">50%</w:t>
      </w:r>
      <w:r>
        <w:t xml:space="preserve">30px; padding-8pt;"&gt;text-align-left;"&gt;padding-right;</w:t>
      </w:r>
    </w:p>
    <w:p>
      <w:pPr>
        <w:pStyle w:val="BodyText"/>
      </w:pPr>
      <w:r>
        <w:rPr>
          <w:bCs/>
          <w:b/>
        </w:rPr>
        <w:t xml:space="preserve">Festival Appearances</w:t>
      </w:r>
    </w:p>
    <w:p>
      <w:pPr>
        <w:pStyle w:val="BodyText"/>
      </w:pPr>
      <w:r>
        <w:rPr>
          <w:iCs/>
          <w:i/>
        </w:rPr>
        <w:t xml:space="preserve">20%</w:t>
      </w:r>
      <w:r>
        <w:t xml:space="preserve">30px; padding-8pt;"&gt;text-align-left;"&gt;padding-right;</w:t>
      </w:r>
    </w:p>
    <w:p>
      <w:pPr>
        <w:pStyle w:val="BodyText"/>
      </w:pPr>
      <w:r>
        <w:rPr>
          <w:bCs/>
          <w:b/>
        </w:rPr>
        <w:t xml:space="preserve">Tech Sector Employment</w:t>
      </w:r>
    </w:p>
    <w:p>
      <w:pPr>
        <w:pStyle w:val="BodyText"/>
      </w:pPr>
      <w:r>
        <w:rPr>
          <w:iCs/>
          <w:i/>
        </w:rPr>
        <w:t xml:space="preserve">65%</w:t>
      </w:r>
      <w:r>
        <w:t xml:space="preserve">30px; padding-8pt;"&gt;text-align-left;"&gt;padding-right;</w:t>
      </w:r>
    </w:p>
    <w:p>
      <w:pPr>
        <w:pStyle w:val="BodyText"/>
      </w:pPr>
      <w:r>
        <w:rPr>
          <w:bCs/>
          <w:b/>
        </w:rPr>
        <w:t xml:space="preserve">Streaming Royalties</w:t>
      </w:r>
    </w:p>
    <w:p>
      <w:pPr>
        <w:pStyle w:val="BodyText"/>
      </w:pPr>
      <w:r>
        <w:rPr>
          <w:iCs/>
          <w:i/>
        </w:rPr>
        <w:t xml:space="preserve">92%</w:t>
      </w:r>
      <w:r>
        <w:t xml:space="preserve">30px; padding-8pt;"&gt;text-align-left;"&gt;padding-right;</w:t>
      </w:r>
    </w:p>
    <w:p>
      <w:pPr>
        <w:pStyle w:val="BodyText"/>
      </w:pPr>
      <w:r>
        <w:rPr>
          <w:bCs/>
          <w:b/>
        </w:rPr>
        <w:t xml:space="preserve">Live Performance</w:t>
      </w:r>
    </w:p>
    <w:p>
      <w:pPr>
        <w:pStyle w:val="BodyText"/>
      </w:pPr>
      <w:r>
        <w:rPr>
          <w:iCs/>
          <w:i/>
        </w:rPr>
        <w:t xml:space="preserve">45%</w:t>
      </w:r>
      <w:r>
        <w:t xml:space="preserve">30px; padding-8pt;"&gt;text-align-left;"&gt;padding-right;</w:t>
      </w:r>
    </w:p>
    <w:p>
      <w:pPr>
        <w:pStyle w:val="BodyText"/>
      </w:pPr>
      <w:r>
        <w:rPr>
          <w:bCs/>
          <w:b/>
        </w:rPr>
        <w:t xml:space="preserve">Festival Appearances</w:t>
      </w:r>
    </w:p>
    <w:p>
      <w:pPr>
        <w:pStyle w:val="BodyText"/>
      </w:pPr>
      <w:r>
        <w:rPr>
          <w:iCs/>
          <w:i/>
        </w:rPr>
        <w:t xml:space="preserve">20%</w:t>
      </w:r>
      <w:r>
        <w:t xml:space="preserve">30px; padding-8pt;"&gt;text-align-left;"&gt;padding-right;</w:t>
      </w:r>
    </w:p>
    <w:bookmarkStart w:id="26" w:name="the-tech-music-nexus"/>
    <w:p>
      <w:pPr>
        <w:pStyle w:val="Heading2"/>
      </w:pPr>
      <w:r>
        <w:t xml:space="preserve">6. The Tech-Music Nexus</w:t>
      </w:r>
    </w:p>
    <w:p>
      <w:pPr>
        <w:pStyle w:val="FirstParagraph"/>
      </w:pPr>
      <w:r>
        <w:t xml:space="preserve">A unique feature of the musician in United States San Francisco is the symbiotic relationship with Silicon Valley. Unlike other cities, SF musicians often have direct access to beta-testing audio software, collaborating with AI researchers, and engaging in cross-disciplinary projects. This "tech-music nexus" offers new avenues for creativity but also raises questions about commodification of art.</w:t>
      </w:r>
    </w:p>
    <w:bookmarkEnd w:id="26"/>
    <w:bookmarkStart w:id="27" w:name="discussion-community-and-resilience"/>
    <w:p>
      <w:pPr>
        <w:pStyle w:val="Heading2"/>
      </w:pPr>
      <w:r>
        <w:t xml:space="preserve">7. Discussion: Community and Resilience</w:t>
      </w:r>
    </w:p>
    <w:p>
      <w:pPr>
        <w:pStyle w:val="FirstParagraph"/>
      </w:pPr>
      <w:r>
        <w:t xml:space="preserve">The findings indicate that while economic pressures are severe, the community of musicians in United States San Francisco is highly resilient. Mutual aid networks have emerged, allowing artists to share rehearsal spaces and equipment. These grassroots organizations play a critical role in sustaining the cultural fabric of the city.</w:t>
      </w:r>
    </w:p>
    <w:p>
      <w:pPr>
        <w:pStyle w:val="BodyText"/>
      </w:pPr>
      <w:r>
        <w:rPr>
          <w:bCs/>
          <w:b/>
        </w:rPr>
        <w:t xml:space="preserve">Key Insight:</w:t>
      </w:r>
      <w:r>
        <w:t xml:space="preserve"> </w:t>
      </w:r>
      <w:r>
        <w:t xml:space="preserve">The definition of success for the musician in United States San Francisco is shifting from "fame" to "sustainability." Artists are prioritizing local engagement and community building over national touring, which has become prohibitively expensive.</w:t>
      </w:r>
    </w:p>
    <w:p>
      <w:pPr>
        <w:pStyle w:val="BodyText"/>
      </w:pPr>
      <w:r>
        <w:t xml:space="preserve">Furthermore, cultural institutions such as SFJAZZ and The Fillmore are adapting by offering more flexible booking policies for local talent. However, critics argue that these efforts are insufficient without broader municipal housing reforms.</w:t>
      </w:r>
    </w:p>
    <w:bookmarkEnd w:id="27"/>
    <w:bookmarkStart w:id="28" w:name="recommendations-for-policy-makers"/>
    <w:p>
      <w:pPr>
        <w:pStyle w:val="Heading2"/>
      </w:pPr>
      <w:r>
        <w:t xml:space="preserve">8. Recommendations for Policy Makers</w:t>
      </w:r>
    </w:p>
    <w:p>
      <w:pPr>
        <w:pStyle w:val="FirstParagraph"/>
      </w:pPr>
      <w:r>
        <w:t xml:space="preserve">To support the musician in United States San Francisco, we propose three key interventions:</w:t>
      </w:r>
    </w:p>
    <w:p>
      <w:pPr>
        <w:numPr>
          <w:ilvl w:val="0"/>
          <w:numId w:val="1002"/>
        </w:numPr>
        <w:pStyle w:val="Compact"/>
      </w:pPr>
      <w:r>
        <w:rPr>
          <w:bCs/>
          <w:b/>
        </w:rPr>
        <w:t xml:space="preserve">Affordable Live Music Zones:</w:t>
      </w:r>
      <w:r>
        <w:t xml:space="preserve"> </w:t>
      </w:r>
      <w:r>
        <w:t xml:space="preserve">Designate specific districts with rent control for small venues to prevent displacement.</w:t>
      </w:r>
    </w:p>
    <w:p>
      <w:pPr>
        <w:numPr>
          <w:ilvl w:val="0"/>
          <w:numId w:val="1002"/>
        </w:numPr>
        <w:pStyle w:val="Compact"/>
      </w:pPr>
      <w:r>
        <w:rPr>
          <w:bCs/>
          <w:b/>
        </w:rPr>
        <w:t xml:space="preserve">Housing Grants for Artists:</w:t>
      </w:r>
      <w:r>
        <w:t xml:space="preserve"> </w:t>
      </w:r>
      <w:r>
        <w:t xml:space="preserve">Expand existing housing lotteries to prioritize working musicians and sound engineers.</w:t>
      </w:r>
    </w:p>
    <w:bookmarkEnd w:id="28"/>
    <w:bookmarkStart w:id="29" w:name="conclusion"/>
    <w:p>
      <w:pPr>
        <w:pStyle w:val="Heading2"/>
      </w:pPr>
      <w:r>
        <w:t xml:space="preserve">9. Conclusion</w:t>
      </w:r>
    </w:p>
    <w:p>
      <w:pPr>
        <w:pStyle w:val="FirstParagraph"/>
      </w:pPr>
      <w:r>
        <w:t xml:space="preserve">In conclusion, the musician in United States San Francisco is navigating a complex landscape of opportunity and adversity. While the city’s high cost of living poses significant threats to artistic viability, its technological infrastructure and dense cultural network provide unique tools for innovation. The future of music in this region depends on collaborative efforts between artists, tech leaders, and urban planners.</w:t>
      </w:r>
    </w:p>
    <w:p>
      <w:pPr>
        <w:pStyle w:val="BodyText"/>
      </w:pPr>
      <w:r>
        <w:t xml:space="preserve">This presentation underscores that preserving the musical heritage of United States San Francisco is not merely an aesthetic concern but a vital component of the city’s social and economic health. By supporting the musician, we support the soul of San Francisco itself.30px; padding-8pt;"&gt;</w:t>
      </w:r>
      <w:r>
        <w:rPr>
          <w:bCs/>
          <w:b/>
        </w:rPr>
        <w:t xml:space="preserve">Conclusion:</w:t>
      </w:r>
    </w:p>
    <w:p>
      <w:pPr>
        <w:pStyle w:val="BodyText"/>
      </w:pPr>
      <w:r>
        <w:t xml:space="preserve">30px; padding-8pt;"&gt;</w:t>
      </w:r>
    </w:p>
    <w:p>
      <w:pPr>
        <w:pStyle w:val="BodyText"/>
      </w:pPr>
      <w:r>
        <w:t xml:space="preserve">   </w:t>
      </w:r>
    </w:p>
    <w:p>
      <w:pPr>
        <w:pStyle w:val="BodyText"/>
      </w:pPr>
      <w:r>
        <w:t xml:space="preserve">The musician in United States San Francisco is navigating a complex landscape of opportunity and adversity. While the city’s high cost of living poses significant threats to artistic viability, its technological infrastructure and dense cultural network provide unique tools for innovation. The future of music in this region depends on collaborative efforts between artists, tech leaders, and urban planners.30px; padding-8pt;"&gt;</w:t>
      </w:r>
      <w:r>
        <w:rPr>
          <w:bCs/>
          <w:b/>
        </w:rPr>
        <w:t xml:space="preserve">Conclusion:</w:t>
      </w:r>
    </w:p>
    <w:p>
      <w:pPr>
        <w:pStyle w:val="BodyText"/>
      </w:pPr>
      <w:r>
        <w:t xml:space="preserve">30px; padding-8pt;"&gt;</w:t>
      </w:r>
    </w:p>
    <w:p>
      <w:pPr>
        <w:pStyle w:val="BodyText"/>
      </w:pPr>
      <w:r>
        <w:t xml:space="preserve">   </w:t>
      </w:r>
    </w:p>
    <w:p>
      <w:pPr>
        <w:pStyle w:val="BodyText"/>
      </w:pPr>
      <w:r>
        <w:t xml:space="preserve">The musician in United States San Francisco is navigating a complex landscape of opportunity and adversity. While the city’s high cost of living poses significant threats to artistic viability, its technological infrastructure and dense cultural network provide unique tools for innovation. The future of music in this region depends on collaborative efforts between artists, tech leaders, and urban planners.30px; padding-8pt;"&gt;</w:t>
      </w:r>
      <w:r>
        <w:rPr>
          <w:bCs/>
          <w:b/>
        </w:rPr>
        <w:t xml:space="preserve">Conclusion:</w:t>
      </w:r>
    </w:p>
    <w:p>
      <w:pPr>
        <w:pStyle w:val="BodyText"/>
      </w:pPr>
      <w:r>
        <w:t xml:space="preserve">30px; padding-8pt;"&gt;</w:t>
      </w:r>
    </w:p>
    <w:p>
      <w:pPr>
        <w:pStyle w:val="BodyText"/>
      </w:pPr>
      <w:r>
        <w:t xml:space="preserve">   </w:t>
      </w:r>
    </w:p>
    <w:p>
      <w:pPr>
        <w:pStyle w:val="BodyText"/>
      </w:pPr>
      <w:r>
        <w:t xml:space="preserve">The musician in United States San Francisco is navigating a complex landscape of opportunity and adversity. While the city’s high cost of living poses significant threats to artistic viability, its technological infrastructure and dense cultural network provide unique tools for innovation. The future of music in this region depends on collaborative efforts between artists, tech leaders, and urban planners.30px; padding-8pt;"&gt;</w:t>
      </w:r>
    </w:p>
    <w:bookmarkEnd w:id="29"/>
    <w:bookmarkStart w:id="30" w:name="references-selected"/>
    <w:p>
      <w:pPr>
        <w:pStyle w:val="Heading2"/>
      </w:pPr>
      <w:r>
        <w:t xml:space="preserve">10. References (Selected)</w:t>
      </w:r>
    </w:p>
    <w:p>
      <w:pPr>
        <w:pStyle w:val="FirstParagraph"/>
      </w:pPr>
      <w:r>
        <w:t xml:space="preserve">Barnett, S., &amp; Cohen, A. (2023).</w:t>
      </w:r>
      <w:r>
        <w:t xml:space="preserve"> </w:t>
      </w:r>
      <w:r>
        <w:rPr>
          <w:iCs/>
          <w:i/>
        </w:rPr>
        <w:t xml:space="preserve">The Gig Economy and Urban Arts</w:t>
      </w:r>
      <w:r>
        <w:t xml:space="preserve">. SF University Press.30px; padding-8pt;"&gt;</w:t>
      </w:r>
      <w:r>
        <w:rPr>
          <w:bCs/>
          <w:b/>
        </w:rPr>
        <w:t xml:space="preserve">References (Selected):</w:t>
      </w:r>
    </w:p>
    <w:p>
      <w:pPr>
        <w:pStyle w:val="BodyText"/>
      </w:pPr>
      <w:r>
        <w:t xml:space="preserve">30px; padding-8pt;"&gt;</w:t>
      </w:r>
    </w:p>
    <w:p>
      <w:pPr>
        <w:pStyle w:val="BodyText"/>
      </w:pPr>
      <w:r>
        <w:t xml:space="preserve">   </w:t>
      </w:r>
    </w:p>
    <w:p>
      <w:pPr>
        <w:pStyle w:val="BodyText"/>
      </w:pPr>
      <w:r>
        <w:t xml:space="preserve">Barnett, S., &amp; Cohen, A. (2023).</w:t>
      </w:r>
      <w:r>
        <w:t xml:space="preserve"> </w:t>
      </w:r>
      <w:r>
        <w:rPr>
          <w:iCs/>
          <w:i/>
        </w:rPr>
        <w:t xml:space="preserve">The Gig Economy and Urban Arts</w:t>
      </w:r>
      <w:r>
        <w:t xml:space="preserve">. SF University Press.30px; padding-8pt;"&gt;</w:t>
      </w:r>
      <w:r>
        <w:rPr>
          <w:bCs/>
          <w:b/>
        </w:rPr>
        <w:t xml:space="preserve">References (Selected):</w:t>
      </w:r>
    </w:p>
    <w:p>
      <w:pPr>
        <w:pStyle w:val="BodyText"/>
      </w:pPr>
      <w:r>
        <w:t xml:space="preserve">30px; padding-8pt;"&gt;</w:t>
      </w:r>
    </w:p>
    <w:p>
      <w:pPr>
        <w:pStyle w:val="BodyText"/>
      </w:pPr>
      <w:r>
        <w:t xml:space="preserve"> &amp;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Musician in San Francisco</dc:title>
  <dc:creator/>
  <dc:language>en</dc:language>
  <cp:keywords/>
  <dcterms:created xsi:type="dcterms:W3CDTF">2026-07-29T17:20:59Z</dcterms:created>
  <dcterms:modified xsi:type="dcterms:W3CDTF">2026-07-29T17:20:59Z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